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1EC0C" w14:textId="77777777" w:rsidR="0005555E" w:rsidRDefault="0005555E" w:rsidP="0005555E">
      <w:pPr>
        <w:spacing w:line="276" w:lineRule="auto"/>
        <w:jc w:val="center"/>
        <w:rPr>
          <w:b/>
          <w:sz w:val="28"/>
          <w:szCs w:val="28"/>
        </w:rPr>
      </w:pPr>
      <w:bookmarkStart w:id="1" w:name="_Hlk176945074"/>
      <w:bookmarkEnd w:id="1"/>
      <w:r w:rsidRPr="002B1EB4">
        <w:rPr>
          <w:b/>
          <w:sz w:val="28"/>
          <w:szCs w:val="28"/>
        </w:rPr>
        <w:t>Request for Tenders for the development of a</w:t>
      </w:r>
    </w:p>
    <w:p w14:paraId="0FD94E1F" w14:textId="74950CC4" w:rsidR="0005555E" w:rsidRPr="00430CD6" w:rsidRDefault="0005555E" w:rsidP="0005555E">
      <w:pPr>
        <w:spacing w:line="276" w:lineRule="auto"/>
        <w:jc w:val="center"/>
        <w:rPr>
          <w:b/>
          <w:sz w:val="36"/>
          <w:szCs w:val="28"/>
        </w:rPr>
      </w:pPr>
      <w:r>
        <w:rPr>
          <w:b/>
          <w:sz w:val="28"/>
          <w:szCs w:val="28"/>
        </w:rPr>
        <w:t xml:space="preserve">Youth Work Supports Needs Analysis Report for </w:t>
      </w:r>
      <w:r w:rsidR="009E132D">
        <w:rPr>
          <w:b/>
          <w:sz w:val="28"/>
          <w:szCs w:val="28"/>
        </w:rPr>
        <w:t>the Greater Finglas</w:t>
      </w:r>
      <w:r w:rsidR="0049681F">
        <w:rPr>
          <w:b/>
          <w:sz w:val="28"/>
          <w:szCs w:val="28"/>
        </w:rPr>
        <w:t xml:space="preserve"> Youth Service Areas in Dublin 11.  </w:t>
      </w:r>
    </w:p>
    <w:p w14:paraId="1E96B2DC" w14:textId="4B658A12" w:rsidR="0005555E" w:rsidRPr="002B1EB4" w:rsidRDefault="0049681F" w:rsidP="00603F8E">
      <w:pPr>
        <w:spacing w:line="276" w:lineRule="auto"/>
        <w:rPr>
          <w:rFonts w:eastAsia="Calibri" w:cs="Times New Roman"/>
          <w:bCs/>
          <w:iCs/>
          <w:sz w:val="24"/>
          <w:szCs w:val="24"/>
          <w:lang w:eastAsia="en-GB"/>
        </w:rPr>
      </w:pPr>
      <w:r>
        <w:rPr>
          <w:rFonts w:cstheme="minorHAnsi"/>
          <w:sz w:val="24"/>
          <w:szCs w:val="24"/>
        </w:rPr>
        <w:t>Finglas Youth Resource Centre, in partnership with Crosscare Finglas Youth Service</w:t>
      </w:r>
      <w:r w:rsidR="00263AFE">
        <w:rPr>
          <w:rFonts w:cstheme="minorHAnsi"/>
          <w:sz w:val="24"/>
          <w:szCs w:val="24"/>
        </w:rPr>
        <w:t xml:space="preserve"> wish to invite</w:t>
      </w:r>
      <w:r w:rsidR="0005555E" w:rsidRPr="002B1EB4">
        <w:rPr>
          <w:rFonts w:eastAsia="Calibri" w:cs="Times New Roman"/>
          <w:bCs/>
          <w:iCs/>
          <w:sz w:val="24"/>
          <w:szCs w:val="24"/>
          <w:lang w:eastAsia="en-GB"/>
        </w:rPr>
        <w:t xml:space="preserve"> tenders from suitably qualified consultants with a high level of knowledge and understanding of the youth sector, for the purpose of developing </w:t>
      </w:r>
      <w:r w:rsidR="0005555E">
        <w:rPr>
          <w:rFonts w:eastAsia="Calibri" w:cs="Times New Roman"/>
          <w:bCs/>
          <w:iCs/>
          <w:sz w:val="24"/>
          <w:szCs w:val="24"/>
          <w:lang w:eastAsia="en-GB"/>
        </w:rPr>
        <w:t xml:space="preserve">a needs analysis for </w:t>
      </w:r>
      <w:r w:rsidR="00263AFE">
        <w:rPr>
          <w:rFonts w:eastAsia="Calibri" w:cs="Times New Roman"/>
          <w:bCs/>
          <w:iCs/>
          <w:sz w:val="24"/>
          <w:szCs w:val="24"/>
          <w:lang w:eastAsia="en-GB"/>
        </w:rPr>
        <w:t>the Greater Finglas area</w:t>
      </w:r>
      <w:r w:rsidR="00E423DB">
        <w:rPr>
          <w:rFonts w:eastAsia="Calibri" w:cs="Times New Roman"/>
          <w:bCs/>
          <w:iCs/>
          <w:sz w:val="24"/>
          <w:szCs w:val="24"/>
          <w:lang w:eastAsia="en-GB"/>
        </w:rPr>
        <w:t xml:space="preserve"> in Dublin 11.  </w:t>
      </w:r>
    </w:p>
    <w:p w14:paraId="16587339" w14:textId="5FE2EE25" w:rsidR="0005555E" w:rsidRDefault="0005555E" w:rsidP="0005555E">
      <w:pPr>
        <w:spacing w:after="120" w:line="276" w:lineRule="auto"/>
        <w:jc w:val="both"/>
        <w:rPr>
          <w:rFonts w:eastAsia="Calibri" w:cs="Times New Roman"/>
          <w:b/>
          <w:bCs/>
          <w:iCs/>
          <w:sz w:val="24"/>
          <w:szCs w:val="24"/>
          <w:lang w:eastAsia="en-GB"/>
        </w:rPr>
      </w:pPr>
      <w:r w:rsidRPr="002B1EB4">
        <w:rPr>
          <w:rFonts w:eastAsia="Calibri" w:cs="Times New Roman"/>
          <w:b/>
          <w:bCs/>
          <w:iCs/>
          <w:sz w:val="24"/>
          <w:szCs w:val="24"/>
          <w:lang w:eastAsia="en-GB"/>
        </w:rPr>
        <w:t>Background Information:</w:t>
      </w:r>
    </w:p>
    <w:p w14:paraId="2A9B0668" w14:textId="77777777" w:rsidR="00952AF5" w:rsidRPr="00952AF5" w:rsidRDefault="00952AF5" w:rsidP="00952AF5">
      <w:pPr>
        <w:spacing w:after="120" w:line="276" w:lineRule="auto"/>
        <w:jc w:val="both"/>
        <w:rPr>
          <w:rFonts w:eastAsia="Calibri" w:cs="Times New Roman"/>
          <w:iCs/>
          <w:sz w:val="24"/>
          <w:szCs w:val="24"/>
          <w:lang w:eastAsia="en-GB"/>
        </w:rPr>
      </w:pPr>
      <w:r w:rsidRPr="00952AF5">
        <w:rPr>
          <w:rFonts w:eastAsia="Calibri" w:cs="Times New Roman"/>
          <w:iCs/>
          <w:sz w:val="24"/>
          <w:szCs w:val="24"/>
          <w:lang w:eastAsia="en-GB"/>
        </w:rPr>
        <w:t xml:space="preserve">The Finglas Youth Resource Centre CLG has been providing youth work programmes, informal education and opportunities for young people since 2004 . The youth centre itself is purpose built and its staff have been providing a place of welcoming and belonging, a place for the young people to come and be themselves, and a safe space to learn, develop and grow in confidence at a time in their lives of uncertainty and rapid growth. We are governed by a Voluntary Board who are enthusiastic, dedicated and young person focused. The Finglas Youth Resource Centre is a registered charity and is compliant with the charity regulators “Governance Code”. </w:t>
      </w:r>
    </w:p>
    <w:p w14:paraId="21FA3B81" w14:textId="77777777" w:rsidR="00952AF5" w:rsidRDefault="00952AF5" w:rsidP="00952AF5">
      <w:pPr>
        <w:spacing w:after="120" w:line="276" w:lineRule="auto"/>
        <w:jc w:val="both"/>
        <w:rPr>
          <w:rFonts w:eastAsia="Calibri" w:cs="Times New Roman"/>
          <w:iCs/>
          <w:sz w:val="24"/>
          <w:szCs w:val="24"/>
          <w:lang w:eastAsia="en-GB"/>
        </w:rPr>
      </w:pPr>
      <w:r w:rsidRPr="00952AF5">
        <w:rPr>
          <w:rFonts w:eastAsia="Calibri" w:cs="Times New Roman"/>
          <w:iCs/>
          <w:sz w:val="24"/>
          <w:szCs w:val="24"/>
          <w:lang w:eastAsia="en-GB"/>
        </w:rPr>
        <w:t>The FYRC approach is very much underpinned by the values of youth work. It is young person centred, respects all young people, keeps with the equality and inclusion ethos and empowers young people to become their best selves. We deliver a variety of programmes based on young people’s needs and interests through non-formal educational approaches. Supporting the personal and social development of young people from the Finglas community to add value to their lives is essential within our work. We also focus on developing the skills and competences to enable young people to become more effective in their decisions and relationships, which helps to build confidence, provides role models, gives new experiences and gives young people a sense of belonging within their own community.</w:t>
      </w:r>
    </w:p>
    <w:p w14:paraId="5E3A544A" w14:textId="77777777" w:rsidR="006A0D4B" w:rsidRPr="00952AF5" w:rsidRDefault="006A0D4B" w:rsidP="00952AF5">
      <w:pPr>
        <w:spacing w:after="120" w:line="276" w:lineRule="auto"/>
        <w:jc w:val="both"/>
        <w:rPr>
          <w:rFonts w:eastAsia="Calibri" w:cs="Times New Roman"/>
          <w:iCs/>
          <w:sz w:val="24"/>
          <w:szCs w:val="24"/>
          <w:lang w:eastAsia="en-GB"/>
        </w:rPr>
      </w:pPr>
    </w:p>
    <w:p w14:paraId="63627EEC" w14:textId="1C41A299" w:rsidR="006A0D4B" w:rsidRPr="006A0D4B" w:rsidRDefault="000B6BF0" w:rsidP="006A0D4B">
      <w:pPr>
        <w:spacing w:after="120" w:line="276" w:lineRule="auto"/>
        <w:jc w:val="both"/>
        <w:rPr>
          <w:rFonts w:eastAsia="Calibri" w:cs="Times New Roman"/>
          <w:iCs/>
          <w:sz w:val="24"/>
          <w:szCs w:val="24"/>
          <w:lang w:eastAsia="en-GB"/>
        </w:rPr>
      </w:pPr>
      <w:r>
        <w:rPr>
          <w:rFonts w:eastAsia="Calibri" w:cs="Times New Roman"/>
          <w:iCs/>
          <w:sz w:val="24"/>
          <w:szCs w:val="24"/>
          <w:lang w:eastAsia="en-GB"/>
        </w:rPr>
        <w:t xml:space="preserve">Crosscare Finglas Youth Service </w:t>
      </w:r>
      <w:r w:rsidR="00646AE4">
        <w:rPr>
          <w:rFonts w:eastAsia="Calibri" w:cs="Times New Roman"/>
          <w:iCs/>
          <w:sz w:val="24"/>
          <w:szCs w:val="24"/>
          <w:lang w:eastAsia="en-GB"/>
        </w:rPr>
        <w:t xml:space="preserve">(also known as ‘The Den’) </w:t>
      </w:r>
      <w:r w:rsidR="00120985">
        <w:rPr>
          <w:rFonts w:eastAsia="Calibri" w:cs="Times New Roman"/>
          <w:iCs/>
          <w:sz w:val="24"/>
          <w:szCs w:val="24"/>
          <w:lang w:eastAsia="en-GB"/>
        </w:rPr>
        <w:t xml:space="preserve">is a Youth Diversion Project and its referrals have come to, or are at risk of coming to, the attention of law enforcement.  The project </w:t>
      </w:r>
      <w:r w:rsidR="006A0D4B" w:rsidRPr="006A0D4B">
        <w:rPr>
          <w:rFonts w:eastAsia="Calibri" w:cs="Times New Roman"/>
          <w:iCs/>
          <w:sz w:val="24"/>
          <w:szCs w:val="24"/>
          <w:lang w:eastAsia="en-GB"/>
        </w:rPr>
        <w:t xml:space="preserve">provides a service in the wider Finglas geographical area. </w:t>
      </w:r>
      <w:r w:rsidR="00120985">
        <w:rPr>
          <w:rFonts w:eastAsia="Calibri" w:cs="Times New Roman"/>
          <w:iCs/>
          <w:sz w:val="24"/>
          <w:szCs w:val="24"/>
          <w:lang w:eastAsia="en-GB"/>
        </w:rPr>
        <w:t xml:space="preserve">It </w:t>
      </w:r>
      <w:r w:rsidR="006A0D4B" w:rsidRPr="006A0D4B">
        <w:rPr>
          <w:rFonts w:eastAsia="Calibri" w:cs="Times New Roman"/>
          <w:iCs/>
          <w:sz w:val="24"/>
          <w:szCs w:val="24"/>
          <w:lang w:eastAsia="en-GB"/>
        </w:rPr>
        <w:t>ensures access to a wraparound service for young people and their families from 3 locations in prominent areas of Finglas. We are committed to developing the highest standard of services in youth crime diversion through the medium of group work, 1:1 supports, Family supports, detached youth work and Hard to Reach engagement. We aim to provide the young people with a safe space to develop skills to be pro-active within their communit</w:t>
      </w:r>
      <w:r w:rsidR="00550340">
        <w:rPr>
          <w:rFonts w:eastAsia="Calibri" w:cs="Times New Roman"/>
          <w:iCs/>
          <w:sz w:val="24"/>
          <w:szCs w:val="24"/>
          <w:lang w:eastAsia="en-GB"/>
        </w:rPr>
        <w:t xml:space="preserve">y.  Finglas Youth Service works from the values of Love, Respect and Excellence, whereby </w:t>
      </w:r>
      <w:r w:rsidR="000978BA">
        <w:rPr>
          <w:rFonts w:eastAsia="Calibri" w:cs="Times New Roman"/>
          <w:iCs/>
          <w:sz w:val="24"/>
          <w:szCs w:val="24"/>
          <w:lang w:eastAsia="en-GB"/>
        </w:rPr>
        <w:t xml:space="preserve">the work is approached with an attitude of </w:t>
      </w:r>
      <w:r w:rsidR="000978BA">
        <w:rPr>
          <w:rFonts w:eastAsia="Calibri" w:cs="Times New Roman"/>
          <w:iCs/>
          <w:sz w:val="24"/>
          <w:szCs w:val="24"/>
          <w:lang w:eastAsia="en-GB"/>
        </w:rPr>
        <w:lastRenderedPageBreak/>
        <w:t>service showing care and kindness in all interactions</w:t>
      </w:r>
      <w:r w:rsidR="001E1326">
        <w:rPr>
          <w:rFonts w:eastAsia="Calibri" w:cs="Times New Roman"/>
          <w:iCs/>
          <w:sz w:val="24"/>
          <w:szCs w:val="24"/>
          <w:lang w:eastAsia="en-GB"/>
        </w:rPr>
        <w:t xml:space="preserve">, where young people are treated with a level of respect that they will remember long after the </w:t>
      </w:r>
      <w:r w:rsidR="00EF13DC">
        <w:rPr>
          <w:rFonts w:eastAsia="Calibri" w:cs="Times New Roman"/>
          <w:iCs/>
          <w:sz w:val="24"/>
          <w:szCs w:val="24"/>
          <w:lang w:eastAsia="en-GB"/>
        </w:rPr>
        <w:t xml:space="preserve">service or support has ceased and where staff strive for excellence in everything they do.  </w:t>
      </w:r>
      <w:r w:rsidR="004C5330">
        <w:rPr>
          <w:rFonts w:eastAsia="Calibri" w:cs="Times New Roman"/>
          <w:iCs/>
          <w:sz w:val="24"/>
          <w:szCs w:val="24"/>
          <w:lang w:eastAsia="en-GB"/>
        </w:rPr>
        <w:t>Crosscare</w:t>
      </w:r>
      <w:r w:rsidR="000C3ABC">
        <w:rPr>
          <w:rFonts w:eastAsia="Calibri" w:cs="Times New Roman"/>
          <w:iCs/>
          <w:sz w:val="24"/>
          <w:szCs w:val="24"/>
          <w:lang w:eastAsia="en-GB"/>
        </w:rPr>
        <w:t xml:space="preserve"> Finglas Youth Service offers a young person centred approach and </w:t>
      </w:r>
      <w:r w:rsidR="005B7AE9">
        <w:rPr>
          <w:rFonts w:eastAsia="Calibri" w:cs="Times New Roman"/>
          <w:iCs/>
          <w:sz w:val="24"/>
          <w:szCs w:val="24"/>
          <w:lang w:eastAsia="en-GB"/>
        </w:rPr>
        <w:t>is underpinned by the values of youth work.</w:t>
      </w:r>
    </w:p>
    <w:p w14:paraId="1DD1CB02" w14:textId="54AC20A4" w:rsidR="0005555E" w:rsidRPr="00952AF5" w:rsidRDefault="0005555E" w:rsidP="0005555E">
      <w:pPr>
        <w:spacing w:after="120" w:line="276" w:lineRule="auto"/>
        <w:jc w:val="both"/>
        <w:rPr>
          <w:rFonts w:eastAsia="Calibri" w:cs="Times New Roman"/>
          <w:iCs/>
          <w:sz w:val="24"/>
          <w:szCs w:val="24"/>
          <w:lang w:eastAsia="en-GB"/>
        </w:rPr>
      </w:pPr>
    </w:p>
    <w:p w14:paraId="269CE5D5" w14:textId="68AC8513" w:rsidR="0005555E" w:rsidRPr="002B1EB4" w:rsidRDefault="0005555E" w:rsidP="0005555E">
      <w:pPr>
        <w:spacing w:after="120" w:line="276" w:lineRule="auto"/>
        <w:jc w:val="both"/>
        <w:rPr>
          <w:rFonts w:eastAsia="Calibri" w:cs="Times New Roman"/>
          <w:b/>
          <w:bCs/>
          <w:iCs/>
          <w:sz w:val="24"/>
          <w:szCs w:val="24"/>
          <w:lang w:eastAsia="en-GB"/>
        </w:rPr>
      </w:pPr>
      <w:r w:rsidRPr="002B1EB4">
        <w:rPr>
          <w:rFonts w:eastAsia="Calibri" w:cs="Times New Roman"/>
          <w:b/>
          <w:bCs/>
          <w:iCs/>
          <w:sz w:val="24"/>
          <w:szCs w:val="24"/>
          <w:lang w:eastAsia="en-GB"/>
        </w:rPr>
        <w:t>Youth Work:</w:t>
      </w:r>
    </w:p>
    <w:p w14:paraId="6C29F132" w14:textId="77777777" w:rsidR="0005555E" w:rsidRPr="002B1EB4" w:rsidRDefault="0005555E" w:rsidP="0005555E">
      <w:pPr>
        <w:spacing w:after="120" w:line="276" w:lineRule="auto"/>
        <w:jc w:val="both"/>
        <w:rPr>
          <w:rFonts w:eastAsia="Calibri" w:cs="Times New Roman"/>
          <w:bCs/>
          <w:iCs/>
          <w:sz w:val="24"/>
          <w:szCs w:val="24"/>
          <w:lang w:eastAsia="en-GB"/>
        </w:rPr>
      </w:pPr>
      <w:r w:rsidRPr="002B1EB4">
        <w:rPr>
          <w:rFonts w:eastAsia="Calibri" w:cs="Times New Roman"/>
          <w:bCs/>
          <w:iCs/>
          <w:sz w:val="24"/>
          <w:szCs w:val="24"/>
          <w:lang w:eastAsia="en-GB"/>
        </w:rPr>
        <w:t>The definition as to what is youth work is described in the Youth Work Act 2001;</w:t>
      </w:r>
    </w:p>
    <w:p w14:paraId="2016FCAF" w14:textId="77777777" w:rsidR="0005555E" w:rsidRPr="002B1EB4" w:rsidRDefault="0005555E" w:rsidP="0005555E">
      <w:pPr>
        <w:spacing w:after="120" w:line="276" w:lineRule="auto"/>
        <w:jc w:val="both"/>
        <w:rPr>
          <w:rFonts w:eastAsia="Calibri" w:cs="Times New Roman"/>
          <w:bCs/>
          <w:iCs/>
          <w:sz w:val="24"/>
          <w:szCs w:val="24"/>
          <w:lang w:eastAsia="en-GB"/>
        </w:rPr>
      </w:pPr>
      <w:r w:rsidRPr="002B1EB4">
        <w:rPr>
          <w:rFonts w:eastAsia="Calibri" w:cs="Times New Roman"/>
          <w:bCs/>
          <w:iCs/>
          <w:sz w:val="24"/>
          <w:szCs w:val="24"/>
          <w:lang w:eastAsia="en-GB"/>
        </w:rPr>
        <w:t>“a planned programme of education designed for the purpose of aiding and enhancing the personal and social development of young persons through their voluntary participation, and which is (a) complementary to their formal, academic or vocational education and training; and (b) provided primarily by voluntary youth work organisations.”  (Section 3.)</w:t>
      </w:r>
    </w:p>
    <w:p w14:paraId="2CE8803F" w14:textId="7439C36E" w:rsidR="0005555E" w:rsidRPr="002B1EB4" w:rsidRDefault="0005555E" w:rsidP="0005555E">
      <w:pPr>
        <w:spacing w:after="120" w:line="276" w:lineRule="auto"/>
        <w:jc w:val="both"/>
        <w:rPr>
          <w:rFonts w:eastAsia="Calibri" w:cs="Times New Roman"/>
          <w:bCs/>
          <w:iCs/>
          <w:sz w:val="24"/>
          <w:szCs w:val="24"/>
          <w:lang w:eastAsia="en-GB"/>
        </w:rPr>
      </w:pPr>
      <w:r w:rsidRPr="002B1EB4">
        <w:rPr>
          <w:rFonts w:eastAsia="Calibri" w:cs="Times New Roman"/>
          <w:bCs/>
          <w:iCs/>
          <w:sz w:val="24"/>
          <w:szCs w:val="24"/>
          <w:lang w:eastAsia="en-GB"/>
        </w:rPr>
        <w:t>Youth work operates in various settings spanning the non-formal education through to informal education. Youth work engages young people from ten to twenty-four years of age, a significant period in terms of young people’s development. Youth Work’s primary concern is with the education of young people and is predicated on the voluntary participation of young people. Flexibility of approach and emphasis on the interpersonal, enables it to offer an educational process complementary to that provided through formal education. In addition, Youth work often acts as the point of contact and referral in the interface with other youth- related issues such as care, health, and welfare.</w:t>
      </w:r>
    </w:p>
    <w:p w14:paraId="66234D19" w14:textId="77777777" w:rsidR="0005555E" w:rsidRPr="00B82BE3" w:rsidRDefault="0005555E" w:rsidP="0005555E">
      <w:pPr>
        <w:spacing w:after="0" w:line="276" w:lineRule="auto"/>
        <w:rPr>
          <w:rFonts w:eastAsia="Calibri" w:cs="Times New Roman"/>
          <w:b/>
          <w:sz w:val="24"/>
          <w:szCs w:val="24"/>
        </w:rPr>
      </w:pPr>
      <w:r w:rsidRPr="00B82BE3">
        <w:rPr>
          <w:rFonts w:eastAsia="Calibri" w:cs="Times New Roman"/>
          <w:b/>
          <w:sz w:val="24"/>
          <w:szCs w:val="24"/>
        </w:rPr>
        <w:t>Proposal:</w:t>
      </w:r>
    </w:p>
    <w:p w14:paraId="735195D1" w14:textId="685E71B7" w:rsidR="0005555E" w:rsidRPr="002B1EB4" w:rsidRDefault="0005555E" w:rsidP="0005555E">
      <w:pPr>
        <w:spacing w:after="0" w:line="276" w:lineRule="auto"/>
        <w:rPr>
          <w:rFonts w:eastAsia="Calibri" w:cs="Times New Roman"/>
          <w:sz w:val="24"/>
          <w:szCs w:val="24"/>
        </w:rPr>
      </w:pPr>
      <w:r w:rsidRPr="002B1EB4">
        <w:rPr>
          <w:rFonts w:eastAsia="Calibri" w:cs="Times New Roman"/>
          <w:sz w:val="24"/>
          <w:szCs w:val="24"/>
        </w:rPr>
        <w:t xml:space="preserve">To </w:t>
      </w:r>
      <w:r>
        <w:rPr>
          <w:rFonts w:eastAsia="Calibri" w:cs="Times New Roman"/>
          <w:sz w:val="24"/>
          <w:szCs w:val="24"/>
        </w:rPr>
        <w:t xml:space="preserve">research and prepare a report of a need’s analysis for </w:t>
      </w:r>
      <w:r w:rsidR="00C73E7B">
        <w:rPr>
          <w:rFonts w:eastAsia="Calibri" w:cs="Times New Roman"/>
          <w:sz w:val="24"/>
          <w:szCs w:val="24"/>
        </w:rPr>
        <w:t xml:space="preserve">the Greater </w:t>
      </w:r>
      <w:r w:rsidR="009B2296">
        <w:rPr>
          <w:rFonts w:eastAsia="Calibri" w:cs="Times New Roman"/>
          <w:sz w:val="24"/>
          <w:szCs w:val="24"/>
        </w:rPr>
        <w:t xml:space="preserve">Finglas </w:t>
      </w:r>
      <w:r w:rsidR="00C73E7B">
        <w:rPr>
          <w:rFonts w:eastAsia="Calibri" w:cs="Times New Roman"/>
          <w:sz w:val="24"/>
          <w:szCs w:val="24"/>
        </w:rPr>
        <w:t>Youth Service</w:t>
      </w:r>
      <w:r w:rsidR="009B2296">
        <w:rPr>
          <w:rFonts w:eastAsia="Calibri" w:cs="Times New Roman"/>
          <w:sz w:val="24"/>
          <w:szCs w:val="24"/>
        </w:rPr>
        <w:t xml:space="preserve">s areas of Dublin 11.  </w:t>
      </w:r>
    </w:p>
    <w:p w14:paraId="1BED55AF" w14:textId="77777777" w:rsidR="0005555E" w:rsidRPr="002B1EB4" w:rsidRDefault="0005555E" w:rsidP="0005555E">
      <w:pPr>
        <w:spacing w:after="0" w:line="276" w:lineRule="auto"/>
        <w:rPr>
          <w:rFonts w:eastAsia="Calibri" w:cs="Calibri"/>
          <w:bCs/>
          <w:i/>
          <w:iCs/>
          <w:sz w:val="24"/>
          <w:szCs w:val="24"/>
          <w:u w:val="single"/>
        </w:rPr>
      </w:pPr>
    </w:p>
    <w:p w14:paraId="7AFCDDA2" w14:textId="77777777" w:rsidR="0005555E" w:rsidRPr="002B1EB4" w:rsidRDefault="0005555E" w:rsidP="0005555E">
      <w:pPr>
        <w:spacing w:after="0" w:line="276" w:lineRule="auto"/>
        <w:rPr>
          <w:rFonts w:eastAsia="Calibri" w:cs="Calibri"/>
          <w:b/>
          <w:bCs/>
          <w:i/>
          <w:iCs/>
          <w:sz w:val="24"/>
          <w:szCs w:val="24"/>
          <w:u w:val="single"/>
        </w:rPr>
      </w:pPr>
      <w:r w:rsidRPr="002B1EB4">
        <w:rPr>
          <w:rFonts w:eastAsia="Calibri" w:cs="Calibri"/>
          <w:b/>
          <w:bCs/>
          <w:i/>
          <w:iCs/>
          <w:sz w:val="24"/>
          <w:szCs w:val="24"/>
          <w:u w:val="single"/>
        </w:rPr>
        <w:t xml:space="preserve">Main Contents of Plan: </w:t>
      </w:r>
    </w:p>
    <w:p w14:paraId="205AF77E" w14:textId="77777777" w:rsidR="0005555E" w:rsidRPr="00A42A1B" w:rsidRDefault="0005555E" w:rsidP="0005555E">
      <w:pPr>
        <w:pStyle w:val="ListParagraph"/>
        <w:numPr>
          <w:ilvl w:val="0"/>
          <w:numId w:val="7"/>
        </w:numPr>
        <w:spacing w:after="0" w:line="276" w:lineRule="auto"/>
        <w:rPr>
          <w:rFonts w:eastAsia="Calibri" w:cs="Calibri"/>
          <w:bCs/>
          <w:i/>
          <w:iCs/>
          <w:sz w:val="24"/>
          <w:szCs w:val="24"/>
        </w:rPr>
      </w:pPr>
      <w:r>
        <w:rPr>
          <w:rFonts w:eastAsia="Calibri" w:cs="Calibri"/>
          <w:bCs/>
          <w:i/>
          <w:iCs/>
          <w:sz w:val="24"/>
          <w:szCs w:val="24"/>
        </w:rPr>
        <w:t xml:space="preserve">Section 1: </w:t>
      </w:r>
      <w:r w:rsidRPr="00C07234">
        <w:rPr>
          <w:rFonts w:eastAsia="Calibri" w:cs="Calibri"/>
          <w:bCs/>
          <w:iCs/>
          <w:sz w:val="24"/>
          <w:szCs w:val="24"/>
        </w:rPr>
        <w:t>Background and context of the reports</w:t>
      </w:r>
    </w:p>
    <w:p w14:paraId="5CD553C5" w14:textId="77777777" w:rsidR="0005555E" w:rsidRPr="002B1EB4" w:rsidRDefault="0005555E" w:rsidP="0005555E">
      <w:pPr>
        <w:pStyle w:val="ListParagraph"/>
        <w:numPr>
          <w:ilvl w:val="0"/>
          <w:numId w:val="7"/>
        </w:numPr>
        <w:spacing w:after="0" w:line="276" w:lineRule="auto"/>
        <w:rPr>
          <w:rFonts w:eastAsia="Calibri" w:cs="Times New Roman"/>
          <w:sz w:val="24"/>
          <w:szCs w:val="24"/>
        </w:rPr>
      </w:pPr>
      <w:r w:rsidRPr="002B1EB4">
        <w:rPr>
          <w:rFonts w:eastAsia="Calibri" w:cs="Times New Roman"/>
          <w:bCs/>
          <w:i/>
          <w:iCs/>
          <w:sz w:val="24"/>
          <w:szCs w:val="24"/>
        </w:rPr>
        <w:t>Section 2:</w:t>
      </w:r>
      <w:r w:rsidRPr="002B1EB4">
        <w:rPr>
          <w:rFonts w:eastAsia="Calibri" w:cs="Times New Roman"/>
          <w:sz w:val="24"/>
          <w:szCs w:val="24"/>
        </w:rPr>
        <w:t xml:space="preserve"> Methodology; </w:t>
      </w:r>
    </w:p>
    <w:p w14:paraId="7EFB92D7" w14:textId="77777777" w:rsidR="0005555E" w:rsidRPr="002B1EB4" w:rsidRDefault="0005555E" w:rsidP="0005555E">
      <w:pPr>
        <w:pStyle w:val="ListParagraph"/>
        <w:numPr>
          <w:ilvl w:val="0"/>
          <w:numId w:val="7"/>
        </w:numPr>
        <w:spacing w:after="0" w:line="276" w:lineRule="auto"/>
        <w:rPr>
          <w:rFonts w:eastAsia="Calibri" w:cs="Times New Roman"/>
          <w:sz w:val="24"/>
          <w:szCs w:val="24"/>
        </w:rPr>
      </w:pPr>
      <w:r w:rsidRPr="002B1EB4">
        <w:rPr>
          <w:rFonts w:eastAsia="Calibri" w:cs="Times New Roman"/>
          <w:bCs/>
          <w:i/>
          <w:iCs/>
          <w:sz w:val="24"/>
          <w:szCs w:val="24"/>
        </w:rPr>
        <w:t>Section 3:</w:t>
      </w:r>
      <w:r w:rsidRPr="002B1EB4">
        <w:rPr>
          <w:rFonts w:eastAsia="Calibri" w:cs="Times New Roman"/>
          <w:sz w:val="24"/>
          <w:szCs w:val="24"/>
        </w:rPr>
        <w:t xml:space="preserve"> </w:t>
      </w:r>
      <w:r>
        <w:rPr>
          <w:rFonts w:eastAsia="Calibri" w:cs="Times New Roman"/>
          <w:sz w:val="24"/>
          <w:szCs w:val="24"/>
        </w:rPr>
        <w:t xml:space="preserve">Area </w:t>
      </w:r>
      <w:r w:rsidRPr="002B1EB4">
        <w:rPr>
          <w:rFonts w:eastAsia="Calibri" w:cs="Times New Roman"/>
          <w:sz w:val="24"/>
          <w:szCs w:val="24"/>
        </w:rPr>
        <w:t>profile</w:t>
      </w:r>
      <w:r>
        <w:rPr>
          <w:rFonts w:eastAsia="Calibri" w:cs="Times New Roman"/>
          <w:sz w:val="24"/>
          <w:szCs w:val="24"/>
        </w:rPr>
        <w:t xml:space="preserve">  </w:t>
      </w:r>
    </w:p>
    <w:p w14:paraId="143D3FFD" w14:textId="77777777" w:rsidR="0005555E" w:rsidRDefault="0005555E" w:rsidP="0005555E">
      <w:pPr>
        <w:pStyle w:val="ListParagraph"/>
        <w:numPr>
          <w:ilvl w:val="0"/>
          <w:numId w:val="7"/>
        </w:numPr>
        <w:spacing w:after="0" w:line="276" w:lineRule="auto"/>
        <w:rPr>
          <w:rFonts w:eastAsia="Calibri" w:cs="Times New Roman"/>
          <w:sz w:val="24"/>
          <w:szCs w:val="24"/>
        </w:rPr>
      </w:pPr>
      <w:r w:rsidRPr="002B1EB4">
        <w:rPr>
          <w:rFonts w:eastAsia="Calibri" w:cs="Times New Roman"/>
          <w:bCs/>
          <w:i/>
          <w:iCs/>
          <w:sz w:val="24"/>
          <w:szCs w:val="24"/>
        </w:rPr>
        <w:t>Section 4:</w:t>
      </w:r>
      <w:r w:rsidRPr="002B1EB4">
        <w:rPr>
          <w:rFonts w:eastAsia="Calibri" w:cs="Times New Roman"/>
          <w:sz w:val="24"/>
          <w:szCs w:val="24"/>
        </w:rPr>
        <w:t xml:space="preserve"> Existing Youth Work </w:t>
      </w:r>
      <w:r>
        <w:rPr>
          <w:rFonts w:eastAsia="Calibri" w:cs="Times New Roman"/>
          <w:sz w:val="24"/>
          <w:szCs w:val="24"/>
        </w:rPr>
        <w:t xml:space="preserve">supports  </w:t>
      </w:r>
    </w:p>
    <w:p w14:paraId="086AC49F" w14:textId="34595762" w:rsidR="00680F12" w:rsidRPr="002B1EB4" w:rsidRDefault="00680F12" w:rsidP="0005555E">
      <w:pPr>
        <w:pStyle w:val="ListParagraph"/>
        <w:numPr>
          <w:ilvl w:val="0"/>
          <w:numId w:val="7"/>
        </w:numPr>
        <w:spacing w:after="0" w:line="276" w:lineRule="auto"/>
        <w:rPr>
          <w:rFonts w:eastAsia="Calibri" w:cs="Times New Roman"/>
          <w:sz w:val="24"/>
          <w:szCs w:val="24"/>
        </w:rPr>
      </w:pPr>
      <w:r>
        <w:rPr>
          <w:rFonts w:eastAsia="Calibri" w:cs="Times New Roman"/>
          <w:bCs/>
          <w:i/>
          <w:iCs/>
          <w:sz w:val="24"/>
          <w:szCs w:val="24"/>
        </w:rPr>
        <w:t>Section 5:</w:t>
      </w:r>
      <w:r>
        <w:rPr>
          <w:rFonts w:eastAsia="Calibri" w:cs="Times New Roman"/>
          <w:sz w:val="24"/>
          <w:szCs w:val="24"/>
        </w:rPr>
        <w:t xml:space="preserve"> </w:t>
      </w:r>
      <w:r w:rsidR="00A617DD">
        <w:rPr>
          <w:rFonts w:eastAsia="Calibri" w:cs="Times New Roman"/>
          <w:sz w:val="24"/>
          <w:szCs w:val="24"/>
        </w:rPr>
        <w:t>Collaborative Youth Work within the Greater Finglas Area</w:t>
      </w:r>
      <w:r w:rsidR="006D46ED">
        <w:rPr>
          <w:rFonts w:eastAsia="Calibri" w:cs="Times New Roman"/>
          <w:sz w:val="24"/>
          <w:szCs w:val="24"/>
        </w:rPr>
        <w:t>.</w:t>
      </w:r>
    </w:p>
    <w:p w14:paraId="0CCC8662" w14:textId="7E3C3639" w:rsidR="0005555E" w:rsidRDefault="0005555E" w:rsidP="0005555E">
      <w:pPr>
        <w:pStyle w:val="ListParagraph"/>
        <w:numPr>
          <w:ilvl w:val="0"/>
          <w:numId w:val="7"/>
        </w:numPr>
        <w:spacing w:after="0" w:line="276" w:lineRule="auto"/>
        <w:rPr>
          <w:rFonts w:eastAsia="Calibri" w:cs="Times New Roman"/>
          <w:sz w:val="24"/>
          <w:szCs w:val="24"/>
        </w:rPr>
      </w:pPr>
      <w:r w:rsidRPr="002B1EB4">
        <w:rPr>
          <w:rFonts w:eastAsia="Calibri" w:cs="Times New Roman"/>
          <w:bCs/>
          <w:i/>
          <w:iCs/>
          <w:sz w:val="24"/>
          <w:szCs w:val="24"/>
        </w:rPr>
        <w:t xml:space="preserve">Section </w:t>
      </w:r>
      <w:r w:rsidR="00A617DD">
        <w:rPr>
          <w:rFonts w:eastAsia="Calibri" w:cs="Times New Roman"/>
          <w:bCs/>
          <w:i/>
          <w:iCs/>
          <w:sz w:val="24"/>
          <w:szCs w:val="24"/>
        </w:rPr>
        <w:t>6</w:t>
      </w:r>
      <w:r w:rsidRPr="002B1EB4">
        <w:rPr>
          <w:rFonts w:eastAsia="Calibri" w:cs="Times New Roman"/>
          <w:bCs/>
          <w:i/>
          <w:iCs/>
          <w:sz w:val="24"/>
          <w:szCs w:val="24"/>
        </w:rPr>
        <w:t>:</w:t>
      </w:r>
      <w:r>
        <w:rPr>
          <w:rFonts w:eastAsia="Calibri" w:cs="Times New Roman"/>
          <w:sz w:val="24"/>
          <w:szCs w:val="24"/>
        </w:rPr>
        <w:t xml:space="preserve"> Research Findings </w:t>
      </w:r>
    </w:p>
    <w:p w14:paraId="1E44EC58" w14:textId="01862EAB" w:rsidR="00815508" w:rsidRPr="002B1EB4" w:rsidRDefault="00815508" w:rsidP="0005555E">
      <w:pPr>
        <w:pStyle w:val="ListParagraph"/>
        <w:numPr>
          <w:ilvl w:val="0"/>
          <w:numId w:val="7"/>
        </w:numPr>
        <w:spacing w:after="0" w:line="276" w:lineRule="auto"/>
        <w:rPr>
          <w:rFonts w:eastAsia="Calibri" w:cs="Times New Roman"/>
          <w:sz w:val="24"/>
          <w:szCs w:val="24"/>
        </w:rPr>
      </w:pPr>
      <w:r>
        <w:rPr>
          <w:rFonts w:eastAsia="Calibri" w:cs="Times New Roman"/>
          <w:bCs/>
          <w:i/>
          <w:iCs/>
          <w:sz w:val="24"/>
          <w:szCs w:val="24"/>
        </w:rPr>
        <w:t xml:space="preserve">Section </w:t>
      </w:r>
      <w:r w:rsidR="00A617DD">
        <w:rPr>
          <w:rFonts w:eastAsia="Calibri" w:cs="Times New Roman"/>
          <w:bCs/>
          <w:i/>
          <w:iCs/>
          <w:sz w:val="24"/>
          <w:szCs w:val="24"/>
        </w:rPr>
        <w:t>7</w:t>
      </w:r>
      <w:r>
        <w:rPr>
          <w:rFonts w:eastAsia="Calibri" w:cs="Times New Roman"/>
          <w:bCs/>
          <w:i/>
          <w:iCs/>
          <w:sz w:val="24"/>
          <w:szCs w:val="24"/>
        </w:rPr>
        <w:t>:</w:t>
      </w:r>
      <w:r>
        <w:rPr>
          <w:rFonts w:eastAsia="Calibri" w:cs="Times New Roman"/>
          <w:sz w:val="24"/>
          <w:szCs w:val="24"/>
        </w:rPr>
        <w:t xml:space="preserve"> Future Needs.</w:t>
      </w:r>
    </w:p>
    <w:p w14:paraId="1D4C1D4B" w14:textId="3D671C1C" w:rsidR="0005555E" w:rsidRPr="002B1EB4" w:rsidRDefault="0005555E" w:rsidP="0005555E">
      <w:pPr>
        <w:pStyle w:val="ListParagraph"/>
        <w:numPr>
          <w:ilvl w:val="0"/>
          <w:numId w:val="7"/>
        </w:numPr>
        <w:spacing w:after="0" w:line="276" w:lineRule="auto"/>
        <w:rPr>
          <w:rFonts w:eastAsia="Calibri" w:cs="Times New Roman"/>
          <w:sz w:val="24"/>
          <w:szCs w:val="24"/>
        </w:rPr>
      </w:pPr>
      <w:r w:rsidRPr="002B1EB4">
        <w:rPr>
          <w:rFonts w:eastAsia="Calibri" w:cs="Times New Roman"/>
          <w:bCs/>
          <w:i/>
          <w:iCs/>
          <w:sz w:val="24"/>
          <w:szCs w:val="24"/>
        </w:rPr>
        <w:t xml:space="preserve">Section </w:t>
      </w:r>
      <w:r w:rsidR="00A617DD">
        <w:rPr>
          <w:rFonts w:eastAsia="Calibri" w:cs="Times New Roman"/>
          <w:bCs/>
          <w:i/>
          <w:iCs/>
          <w:sz w:val="24"/>
          <w:szCs w:val="24"/>
        </w:rPr>
        <w:t>8</w:t>
      </w:r>
      <w:r w:rsidRPr="002B1EB4">
        <w:rPr>
          <w:rFonts w:eastAsia="Calibri" w:cs="Times New Roman"/>
          <w:bCs/>
          <w:i/>
          <w:iCs/>
          <w:sz w:val="24"/>
          <w:szCs w:val="24"/>
        </w:rPr>
        <w:t>:</w:t>
      </w:r>
      <w:r w:rsidRPr="002B1EB4">
        <w:rPr>
          <w:rFonts w:eastAsia="Calibri" w:cs="Times New Roman"/>
          <w:sz w:val="24"/>
          <w:szCs w:val="24"/>
        </w:rPr>
        <w:t xml:space="preserve"> </w:t>
      </w:r>
      <w:r>
        <w:rPr>
          <w:rFonts w:eastAsia="Calibri" w:cs="Times New Roman"/>
          <w:sz w:val="24"/>
          <w:szCs w:val="24"/>
        </w:rPr>
        <w:t>Recommendations</w:t>
      </w:r>
    </w:p>
    <w:p w14:paraId="2B905D02" w14:textId="77777777" w:rsidR="00603F8E" w:rsidRDefault="00603F8E" w:rsidP="0005555E">
      <w:pPr>
        <w:spacing w:after="0" w:line="276" w:lineRule="auto"/>
        <w:rPr>
          <w:rFonts w:eastAsia="Calibri" w:cs="Times New Roman"/>
          <w:sz w:val="24"/>
          <w:szCs w:val="24"/>
        </w:rPr>
      </w:pPr>
    </w:p>
    <w:p w14:paraId="57EB25C1" w14:textId="23C73030" w:rsidR="0005555E" w:rsidRDefault="0005555E" w:rsidP="0005555E">
      <w:pPr>
        <w:spacing w:after="0" w:line="276" w:lineRule="auto"/>
        <w:rPr>
          <w:rFonts w:eastAsia="Calibri" w:cs="Times New Roman"/>
          <w:sz w:val="24"/>
          <w:szCs w:val="24"/>
        </w:rPr>
      </w:pPr>
      <w:r w:rsidRPr="003E4EA2">
        <w:rPr>
          <w:rFonts w:eastAsia="Calibri" w:cs="Times New Roman"/>
          <w:sz w:val="24"/>
          <w:szCs w:val="24"/>
        </w:rPr>
        <w:t xml:space="preserve">Policy framework and plans that will inform the work include, but not limited to; </w:t>
      </w:r>
    </w:p>
    <w:p w14:paraId="7314420A" w14:textId="77777777" w:rsidR="0005555E" w:rsidRPr="00EF15C2" w:rsidRDefault="0005555E" w:rsidP="0005555E">
      <w:pPr>
        <w:pStyle w:val="ListParagraph"/>
        <w:numPr>
          <w:ilvl w:val="0"/>
          <w:numId w:val="6"/>
        </w:numPr>
        <w:spacing w:after="0" w:line="276" w:lineRule="auto"/>
        <w:rPr>
          <w:rFonts w:eastAsia="Calibri" w:cs="Times New Roman"/>
          <w:sz w:val="24"/>
          <w:szCs w:val="24"/>
        </w:rPr>
      </w:pPr>
      <w:r w:rsidRPr="00EF15C2">
        <w:rPr>
          <w:rFonts w:eastAsia="Calibri" w:cs="Times New Roman"/>
          <w:sz w:val="24"/>
          <w:szCs w:val="24"/>
        </w:rPr>
        <w:t>Young Ireland:  The National Policy Framework for Children and Young People 2023-2028</w:t>
      </w:r>
    </w:p>
    <w:p w14:paraId="6B366D2C" w14:textId="17051DB7" w:rsidR="0005555E" w:rsidRDefault="0005555E" w:rsidP="0005555E">
      <w:pPr>
        <w:pStyle w:val="ListParagraph"/>
        <w:numPr>
          <w:ilvl w:val="0"/>
          <w:numId w:val="6"/>
        </w:numPr>
        <w:spacing w:after="0" w:line="276" w:lineRule="auto"/>
        <w:rPr>
          <w:rFonts w:eastAsia="Calibri" w:cs="Times New Roman"/>
          <w:sz w:val="24"/>
          <w:szCs w:val="24"/>
        </w:rPr>
      </w:pPr>
      <w:r w:rsidRPr="00EF15C2">
        <w:rPr>
          <w:rFonts w:eastAsia="Calibri" w:cs="Times New Roman"/>
          <w:sz w:val="24"/>
          <w:szCs w:val="24"/>
        </w:rPr>
        <w:t>Opportunities for Youth: National Strategy on Youthwork &amp; Related Services 2024-202</w:t>
      </w:r>
      <w:r w:rsidR="00DB2544">
        <w:rPr>
          <w:rFonts w:eastAsia="Calibri" w:cs="Times New Roman"/>
          <w:sz w:val="24"/>
          <w:szCs w:val="24"/>
        </w:rPr>
        <w:t>8</w:t>
      </w:r>
    </w:p>
    <w:p w14:paraId="6D5CDC50" w14:textId="749D35AC" w:rsidR="00DB2544" w:rsidRDefault="002C09E4" w:rsidP="0005555E">
      <w:pPr>
        <w:pStyle w:val="ListParagraph"/>
        <w:numPr>
          <w:ilvl w:val="0"/>
          <w:numId w:val="6"/>
        </w:numPr>
        <w:spacing w:after="0" w:line="276" w:lineRule="auto"/>
        <w:rPr>
          <w:rFonts w:eastAsia="Calibri" w:cs="Times New Roman"/>
          <w:sz w:val="24"/>
          <w:szCs w:val="24"/>
        </w:rPr>
      </w:pPr>
      <w:r>
        <w:rPr>
          <w:rFonts w:eastAsia="Calibri" w:cs="Times New Roman"/>
          <w:sz w:val="24"/>
          <w:szCs w:val="24"/>
        </w:rPr>
        <w:t>Youth Justice Strategy 2021-2027</w:t>
      </w:r>
    </w:p>
    <w:p w14:paraId="603CEA35" w14:textId="1EFB78F9" w:rsidR="002C09E4" w:rsidRDefault="000C5C64" w:rsidP="0005555E">
      <w:pPr>
        <w:pStyle w:val="ListParagraph"/>
        <w:numPr>
          <w:ilvl w:val="0"/>
          <w:numId w:val="6"/>
        </w:numPr>
        <w:spacing w:after="0" w:line="276" w:lineRule="auto"/>
        <w:rPr>
          <w:rFonts w:eastAsia="Calibri" w:cs="Times New Roman"/>
          <w:sz w:val="24"/>
          <w:szCs w:val="24"/>
        </w:rPr>
      </w:pPr>
      <w:r>
        <w:rPr>
          <w:rFonts w:eastAsia="Calibri" w:cs="Times New Roman"/>
          <w:sz w:val="24"/>
          <w:szCs w:val="24"/>
        </w:rPr>
        <w:t xml:space="preserve">Children’s Rights Alliance: </w:t>
      </w:r>
      <w:r w:rsidR="002C09E4">
        <w:rPr>
          <w:rFonts w:eastAsia="Calibri" w:cs="Times New Roman"/>
          <w:sz w:val="24"/>
          <w:szCs w:val="24"/>
        </w:rPr>
        <w:t>Building a National Movement for Children and Young People</w:t>
      </w:r>
      <w:r>
        <w:rPr>
          <w:rFonts w:eastAsia="Calibri" w:cs="Times New Roman"/>
          <w:sz w:val="24"/>
          <w:szCs w:val="24"/>
        </w:rPr>
        <w:t xml:space="preserve"> 2022-2025</w:t>
      </w:r>
    </w:p>
    <w:p w14:paraId="14F353CD" w14:textId="61DCD6CB" w:rsidR="00A06D80" w:rsidRDefault="00F533E0" w:rsidP="0005555E">
      <w:pPr>
        <w:pStyle w:val="ListParagraph"/>
        <w:numPr>
          <w:ilvl w:val="0"/>
          <w:numId w:val="6"/>
        </w:numPr>
        <w:spacing w:after="0" w:line="276" w:lineRule="auto"/>
        <w:rPr>
          <w:rFonts w:eastAsia="Calibri" w:cs="Times New Roman"/>
          <w:sz w:val="24"/>
          <w:szCs w:val="24"/>
        </w:rPr>
      </w:pPr>
      <w:r>
        <w:rPr>
          <w:rFonts w:eastAsia="Calibri" w:cs="Times New Roman"/>
          <w:sz w:val="24"/>
          <w:szCs w:val="24"/>
        </w:rPr>
        <w:t>National Traveller and Roma Inclusion Strategy 2024-2028</w:t>
      </w:r>
    </w:p>
    <w:p w14:paraId="759FE7EE" w14:textId="3661F3D5" w:rsidR="00F533E0" w:rsidRDefault="00F533E0" w:rsidP="0005555E">
      <w:pPr>
        <w:pStyle w:val="ListParagraph"/>
        <w:numPr>
          <w:ilvl w:val="0"/>
          <w:numId w:val="6"/>
        </w:numPr>
        <w:spacing w:after="0" w:line="276" w:lineRule="auto"/>
        <w:rPr>
          <w:rFonts w:eastAsia="Calibri" w:cs="Times New Roman"/>
          <w:sz w:val="24"/>
          <w:szCs w:val="24"/>
        </w:rPr>
      </w:pPr>
      <w:r>
        <w:rPr>
          <w:rFonts w:eastAsia="Calibri" w:cs="Times New Roman"/>
          <w:sz w:val="24"/>
          <w:szCs w:val="24"/>
        </w:rPr>
        <w:lastRenderedPageBreak/>
        <w:t>National LGBTI+</w:t>
      </w:r>
      <w:r w:rsidR="00C51722">
        <w:rPr>
          <w:rFonts w:eastAsia="Calibri" w:cs="Times New Roman"/>
          <w:sz w:val="24"/>
          <w:szCs w:val="24"/>
        </w:rPr>
        <w:t xml:space="preserve"> Inclusion Strategy 2019-2021</w:t>
      </w:r>
      <w:r w:rsidR="00134EB9">
        <w:rPr>
          <w:rFonts w:eastAsia="Calibri" w:cs="Times New Roman"/>
          <w:sz w:val="24"/>
          <w:szCs w:val="24"/>
        </w:rPr>
        <w:t xml:space="preserve"> </w:t>
      </w:r>
    </w:p>
    <w:p w14:paraId="6E633408" w14:textId="27FFD0A2" w:rsidR="00C51722" w:rsidRPr="00EF15C2" w:rsidRDefault="00C51722" w:rsidP="0005555E">
      <w:pPr>
        <w:pStyle w:val="ListParagraph"/>
        <w:numPr>
          <w:ilvl w:val="0"/>
          <w:numId w:val="6"/>
        </w:numPr>
        <w:spacing w:after="0" w:line="276" w:lineRule="auto"/>
        <w:rPr>
          <w:rFonts w:eastAsia="Calibri" w:cs="Times New Roman"/>
          <w:sz w:val="24"/>
          <w:szCs w:val="24"/>
        </w:rPr>
      </w:pPr>
      <w:r>
        <w:rPr>
          <w:rFonts w:eastAsia="Calibri" w:cs="Times New Roman"/>
          <w:sz w:val="24"/>
          <w:szCs w:val="24"/>
        </w:rPr>
        <w:t>CSO Figures</w:t>
      </w:r>
    </w:p>
    <w:p w14:paraId="5D43BD58" w14:textId="77777777" w:rsidR="0005555E" w:rsidRPr="002B1EB4" w:rsidRDefault="0005555E" w:rsidP="0005555E">
      <w:pPr>
        <w:spacing w:after="0" w:line="276" w:lineRule="auto"/>
        <w:rPr>
          <w:rFonts w:eastAsia="Calibri" w:cs="Calibri"/>
          <w:sz w:val="24"/>
          <w:szCs w:val="24"/>
          <w:lang w:val="en-US"/>
        </w:rPr>
      </w:pPr>
    </w:p>
    <w:p w14:paraId="0AC3BBE1" w14:textId="77777777" w:rsidR="0005555E" w:rsidRPr="00B82BE3" w:rsidRDefault="0005555E" w:rsidP="0005555E">
      <w:pPr>
        <w:spacing w:after="0" w:line="276" w:lineRule="auto"/>
        <w:rPr>
          <w:rFonts w:eastAsia="Calibri" w:cs="Calibri"/>
          <w:b/>
          <w:sz w:val="24"/>
          <w:szCs w:val="24"/>
          <w:lang w:val="en-US"/>
        </w:rPr>
      </w:pPr>
      <w:r w:rsidRPr="00B82BE3">
        <w:rPr>
          <w:rFonts w:eastAsia="Calibri" w:cs="Calibri"/>
          <w:b/>
          <w:sz w:val="24"/>
          <w:szCs w:val="24"/>
          <w:lang w:val="en-US"/>
        </w:rPr>
        <w:t>Methodology:</w:t>
      </w:r>
    </w:p>
    <w:p w14:paraId="120B513A" w14:textId="4683EBF6" w:rsidR="0005555E" w:rsidRPr="002B1EB4" w:rsidRDefault="0005555E" w:rsidP="0005555E">
      <w:pPr>
        <w:spacing w:after="0" w:line="276" w:lineRule="auto"/>
        <w:rPr>
          <w:rFonts w:eastAsia="Calibri" w:cs="Calibri"/>
          <w:sz w:val="24"/>
          <w:szCs w:val="24"/>
          <w:lang w:val="en-US"/>
        </w:rPr>
      </w:pPr>
      <w:r w:rsidRPr="002B1EB4">
        <w:rPr>
          <w:rFonts w:eastAsia="Calibri" w:cs="Calibri"/>
          <w:sz w:val="24"/>
          <w:szCs w:val="24"/>
          <w:lang w:val="en-US"/>
        </w:rPr>
        <w:t xml:space="preserve">We would expect the methodology to </w:t>
      </w:r>
      <w:r>
        <w:rPr>
          <w:rFonts w:eastAsia="Calibri" w:cs="Calibri"/>
          <w:sz w:val="24"/>
          <w:szCs w:val="24"/>
          <w:lang w:val="en-US"/>
        </w:rPr>
        <w:t>comprise both secondary research and primary qualitative research including</w:t>
      </w:r>
      <w:r w:rsidRPr="002B1EB4">
        <w:rPr>
          <w:rFonts w:eastAsia="Calibri" w:cs="Calibri"/>
          <w:sz w:val="24"/>
          <w:szCs w:val="24"/>
          <w:lang w:val="en-US"/>
        </w:rPr>
        <w:t xml:space="preserve"> interviews/surveys with key stakeholders</w:t>
      </w:r>
      <w:r>
        <w:rPr>
          <w:rFonts w:eastAsia="Calibri" w:cs="Calibri"/>
          <w:sz w:val="24"/>
          <w:szCs w:val="24"/>
          <w:lang w:val="en-US"/>
        </w:rPr>
        <w:t>;</w:t>
      </w:r>
      <w:r w:rsidRPr="002B1EB4">
        <w:rPr>
          <w:rFonts w:eastAsia="Calibri" w:cs="Calibri"/>
          <w:sz w:val="24"/>
          <w:szCs w:val="24"/>
          <w:lang w:val="en-US"/>
        </w:rPr>
        <w:t xml:space="preserve"> youth services and other external stakeholders as well as consultation with young people</w:t>
      </w:r>
      <w:r w:rsidR="0079433B">
        <w:rPr>
          <w:rFonts w:eastAsia="Calibri" w:cs="Calibri"/>
          <w:sz w:val="24"/>
          <w:szCs w:val="24"/>
          <w:lang w:val="en-US"/>
        </w:rPr>
        <w:t xml:space="preserve"> and volunteers.  (Finglas Youth Resource Centre and Crosscare Finglas Youth Service</w:t>
      </w:r>
      <w:r w:rsidRPr="002B1EB4">
        <w:rPr>
          <w:rFonts w:eastAsia="Calibri" w:cs="Calibri"/>
          <w:sz w:val="24"/>
          <w:szCs w:val="24"/>
          <w:lang w:val="en-US"/>
        </w:rPr>
        <w:t xml:space="preserve"> will support the organization </w:t>
      </w:r>
      <w:r>
        <w:rPr>
          <w:rFonts w:eastAsia="Calibri" w:cs="Calibri"/>
          <w:sz w:val="24"/>
          <w:szCs w:val="24"/>
          <w:lang w:val="en-US"/>
        </w:rPr>
        <w:t>of the consultation process).</w:t>
      </w:r>
    </w:p>
    <w:p w14:paraId="0B22A6CC" w14:textId="77777777" w:rsidR="00603F8E" w:rsidRDefault="00603F8E" w:rsidP="0005555E">
      <w:pPr>
        <w:spacing w:after="0" w:line="276" w:lineRule="auto"/>
        <w:rPr>
          <w:rFonts w:eastAsia="Calibri" w:cs="Calibri"/>
          <w:sz w:val="24"/>
          <w:szCs w:val="24"/>
        </w:rPr>
      </w:pPr>
    </w:p>
    <w:p w14:paraId="72705E57" w14:textId="5C4CD8B6" w:rsidR="0005555E" w:rsidRPr="002B1EB4" w:rsidRDefault="0005555E" w:rsidP="0005555E">
      <w:pPr>
        <w:spacing w:after="0" w:line="276" w:lineRule="auto"/>
        <w:rPr>
          <w:rFonts w:eastAsia="Calibri" w:cs="Times New Roman"/>
          <w:b/>
          <w:bCs/>
          <w:sz w:val="24"/>
          <w:szCs w:val="24"/>
          <w:u w:val="single"/>
          <w:lang w:val="en-US"/>
        </w:rPr>
      </w:pPr>
      <w:r w:rsidRPr="002B1EB4">
        <w:rPr>
          <w:rFonts w:eastAsia="Calibri" w:cs="Times New Roman"/>
          <w:b/>
          <w:bCs/>
          <w:sz w:val="24"/>
          <w:szCs w:val="24"/>
          <w:u w:val="single"/>
          <w:lang w:val="en-US"/>
        </w:rPr>
        <w:t>Tender Requirements:</w:t>
      </w:r>
    </w:p>
    <w:p w14:paraId="5BE02252" w14:textId="77777777" w:rsidR="0005555E" w:rsidRPr="002B1EB4" w:rsidRDefault="0005555E" w:rsidP="0005555E">
      <w:pPr>
        <w:spacing w:after="0" w:line="276" w:lineRule="auto"/>
        <w:rPr>
          <w:rFonts w:eastAsia="Calibri" w:cs="Times New Roman"/>
          <w:sz w:val="24"/>
          <w:szCs w:val="24"/>
          <w:lang w:val="en-US"/>
        </w:rPr>
      </w:pPr>
      <w:r w:rsidRPr="002B1EB4">
        <w:rPr>
          <w:rFonts w:eastAsia="Calibri" w:cs="Times New Roman"/>
          <w:sz w:val="24"/>
          <w:szCs w:val="24"/>
          <w:lang w:val="en-US"/>
        </w:rPr>
        <w:t>Proposals from interested parties must include the following:</w:t>
      </w:r>
    </w:p>
    <w:p w14:paraId="4091813A" w14:textId="77777777" w:rsidR="0005555E" w:rsidRPr="00631D3E" w:rsidRDefault="0005555E" w:rsidP="0005555E">
      <w:pPr>
        <w:pStyle w:val="ListParagraph"/>
        <w:numPr>
          <w:ilvl w:val="0"/>
          <w:numId w:val="2"/>
        </w:numPr>
        <w:spacing w:after="0" w:line="276" w:lineRule="auto"/>
        <w:rPr>
          <w:rFonts w:ascii="Helvetica" w:eastAsia="Times New Roman" w:hAnsi="Helvetica" w:cs="Helvetica"/>
          <w:sz w:val="24"/>
          <w:szCs w:val="24"/>
          <w:lang w:val="en-US"/>
        </w:rPr>
      </w:pPr>
      <w:r w:rsidRPr="00631D3E">
        <w:rPr>
          <w:rFonts w:ascii="Helvetica" w:eastAsia="Calibri" w:hAnsi="Helvetica" w:cs="Helvetica"/>
          <w:sz w:val="24"/>
          <w:szCs w:val="24"/>
          <w:lang w:val="en-US"/>
        </w:rPr>
        <w:t xml:space="preserve">A detailed proposal outlining how they would undertake the work as outlined above. </w:t>
      </w:r>
    </w:p>
    <w:p w14:paraId="291754F4" w14:textId="77777777" w:rsidR="0005555E" w:rsidRPr="002B1EB4" w:rsidRDefault="0005555E" w:rsidP="0005555E">
      <w:pPr>
        <w:numPr>
          <w:ilvl w:val="0"/>
          <w:numId w:val="2"/>
        </w:numPr>
        <w:spacing w:after="0" w:line="276" w:lineRule="auto"/>
        <w:rPr>
          <w:rFonts w:eastAsia="Times New Roman" w:cs="Times New Roman"/>
          <w:sz w:val="24"/>
          <w:szCs w:val="24"/>
          <w:lang w:val="en-US"/>
        </w:rPr>
      </w:pPr>
      <w:r w:rsidRPr="002B1EB4">
        <w:rPr>
          <w:rFonts w:eastAsia="Times New Roman" w:cs="Times New Roman"/>
          <w:sz w:val="24"/>
          <w:szCs w:val="24"/>
          <w:lang w:val="en-US"/>
        </w:rPr>
        <w:t>A proposed outline of the approaches and methodologies to be used</w:t>
      </w:r>
    </w:p>
    <w:p w14:paraId="7F22E808" w14:textId="77777777" w:rsidR="0005555E" w:rsidRPr="00631D3E" w:rsidRDefault="0005555E" w:rsidP="0005555E">
      <w:pPr>
        <w:pStyle w:val="ListParagraph"/>
        <w:numPr>
          <w:ilvl w:val="0"/>
          <w:numId w:val="2"/>
        </w:numPr>
        <w:spacing w:after="0" w:line="276" w:lineRule="auto"/>
        <w:rPr>
          <w:rFonts w:ascii="Helvetica" w:eastAsia="Times New Roman" w:hAnsi="Helvetica" w:cs="Helvetica"/>
          <w:sz w:val="24"/>
          <w:szCs w:val="24"/>
          <w:lang w:val="en-US"/>
        </w:rPr>
      </w:pPr>
      <w:r w:rsidRPr="00631D3E">
        <w:rPr>
          <w:rFonts w:ascii="Helvetica" w:eastAsia="Times New Roman" w:hAnsi="Helvetica" w:cs="Helvetica"/>
          <w:sz w:val="24"/>
          <w:szCs w:val="24"/>
          <w:lang w:val="en-US"/>
        </w:rPr>
        <w:t>An outline of the key stages of the work</w:t>
      </w:r>
    </w:p>
    <w:p w14:paraId="792C8179" w14:textId="77777777" w:rsidR="0005555E" w:rsidRDefault="0005555E" w:rsidP="0005555E">
      <w:pPr>
        <w:numPr>
          <w:ilvl w:val="0"/>
          <w:numId w:val="2"/>
        </w:numPr>
        <w:spacing w:after="0" w:line="276" w:lineRule="auto"/>
        <w:rPr>
          <w:rFonts w:eastAsia="Times New Roman" w:cs="Times New Roman"/>
          <w:sz w:val="24"/>
          <w:szCs w:val="24"/>
          <w:lang w:val="en-US"/>
        </w:rPr>
      </w:pPr>
      <w:r w:rsidRPr="002B1EB4">
        <w:rPr>
          <w:rFonts w:eastAsia="Times New Roman" w:cs="Times New Roman"/>
          <w:sz w:val="24"/>
          <w:szCs w:val="24"/>
          <w:lang w:val="en-US"/>
        </w:rPr>
        <w:t>A proposed time frame and key milestones</w:t>
      </w:r>
    </w:p>
    <w:p w14:paraId="3B7007DA" w14:textId="77777777" w:rsidR="0005555E" w:rsidRPr="002B1EB4" w:rsidRDefault="0005555E" w:rsidP="0005555E">
      <w:pPr>
        <w:spacing w:after="0" w:line="276" w:lineRule="auto"/>
        <w:rPr>
          <w:rFonts w:eastAsia="Calibri" w:cs="Times New Roman"/>
          <w:sz w:val="24"/>
          <w:szCs w:val="24"/>
          <w:lang w:val="en-US"/>
        </w:rPr>
      </w:pPr>
    </w:p>
    <w:p w14:paraId="53EA0AA3" w14:textId="77777777" w:rsidR="0005555E" w:rsidRPr="002B1EB4" w:rsidRDefault="0005555E" w:rsidP="0005555E">
      <w:pPr>
        <w:spacing w:after="0" w:line="276" w:lineRule="auto"/>
        <w:rPr>
          <w:rFonts w:eastAsia="Calibri" w:cs="Times New Roman"/>
          <w:b/>
          <w:bCs/>
          <w:sz w:val="24"/>
          <w:szCs w:val="24"/>
          <w:u w:val="single"/>
          <w:lang w:val="en-US"/>
        </w:rPr>
      </w:pPr>
      <w:r w:rsidRPr="002B1EB4">
        <w:rPr>
          <w:rFonts w:eastAsia="Calibri" w:cs="Times New Roman"/>
          <w:b/>
          <w:bCs/>
          <w:sz w:val="24"/>
          <w:szCs w:val="24"/>
          <w:u w:val="single"/>
          <w:lang w:val="en-US"/>
        </w:rPr>
        <w:t>Profile of Applicant should include:</w:t>
      </w:r>
    </w:p>
    <w:p w14:paraId="54A70440" w14:textId="77777777" w:rsidR="0005555E" w:rsidRPr="002B1EB4" w:rsidRDefault="0005555E" w:rsidP="0005555E">
      <w:pPr>
        <w:pStyle w:val="ListParagraph"/>
        <w:numPr>
          <w:ilvl w:val="0"/>
          <w:numId w:val="3"/>
        </w:numPr>
        <w:spacing w:after="0" w:line="276" w:lineRule="auto"/>
        <w:rPr>
          <w:rFonts w:eastAsia="Calibri" w:cs="Times New Roman"/>
          <w:sz w:val="24"/>
          <w:szCs w:val="24"/>
          <w:lang w:val="en-US"/>
        </w:rPr>
      </w:pPr>
      <w:r w:rsidRPr="002B1EB4">
        <w:rPr>
          <w:rFonts w:eastAsia="Calibri" w:cs="Times New Roman"/>
          <w:sz w:val="24"/>
          <w:szCs w:val="24"/>
          <w:lang w:val="en-US"/>
        </w:rPr>
        <w:t>a detailed CV (or CV’s if multiple people involved in the project) outlining knowledge of youth work</w:t>
      </w:r>
    </w:p>
    <w:p w14:paraId="265B00D0" w14:textId="77777777" w:rsidR="0005555E" w:rsidRDefault="0005555E" w:rsidP="0005555E">
      <w:pPr>
        <w:pStyle w:val="ListParagraph"/>
        <w:numPr>
          <w:ilvl w:val="0"/>
          <w:numId w:val="3"/>
        </w:numPr>
        <w:spacing w:after="0" w:line="276" w:lineRule="auto"/>
        <w:rPr>
          <w:rFonts w:eastAsia="Calibri" w:cs="Times New Roman"/>
          <w:sz w:val="24"/>
          <w:szCs w:val="24"/>
          <w:lang w:val="en-US"/>
        </w:rPr>
      </w:pPr>
      <w:r w:rsidRPr="002B1EB4">
        <w:rPr>
          <w:rFonts w:eastAsia="Calibri" w:cs="Times New Roman"/>
          <w:sz w:val="24"/>
          <w:szCs w:val="24"/>
          <w:lang w:val="en-US"/>
        </w:rPr>
        <w:t>Details of any third parties that may be involved in the project</w:t>
      </w:r>
    </w:p>
    <w:p w14:paraId="0C3B052E" w14:textId="77777777" w:rsidR="0005555E" w:rsidRPr="00673663" w:rsidRDefault="0005555E" w:rsidP="0005555E">
      <w:pPr>
        <w:pStyle w:val="ListParagraph"/>
        <w:numPr>
          <w:ilvl w:val="0"/>
          <w:numId w:val="3"/>
        </w:numPr>
        <w:spacing w:after="0" w:line="276" w:lineRule="auto"/>
        <w:rPr>
          <w:rFonts w:eastAsia="Calibri" w:cs="Times New Roman"/>
          <w:sz w:val="24"/>
          <w:szCs w:val="24"/>
          <w:lang w:val="en-US"/>
        </w:rPr>
      </w:pPr>
      <w:r w:rsidRPr="00673663">
        <w:rPr>
          <w:rFonts w:eastAsia="Calibri" w:cs="Times New Roman"/>
          <w:sz w:val="24"/>
          <w:szCs w:val="24"/>
          <w:lang w:val="en-US"/>
        </w:rPr>
        <w:t>Tax Clearance Certificate access details</w:t>
      </w:r>
    </w:p>
    <w:p w14:paraId="4F42727A" w14:textId="77777777" w:rsidR="0005555E" w:rsidRDefault="0005555E" w:rsidP="0005555E">
      <w:pPr>
        <w:pStyle w:val="ListParagraph"/>
        <w:numPr>
          <w:ilvl w:val="0"/>
          <w:numId w:val="3"/>
        </w:numPr>
        <w:spacing w:after="0" w:line="276" w:lineRule="auto"/>
        <w:rPr>
          <w:rFonts w:eastAsia="Calibri" w:cs="Times New Roman"/>
          <w:sz w:val="24"/>
          <w:szCs w:val="24"/>
          <w:lang w:val="en-US"/>
        </w:rPr>
      </w:pPr>
      <w:r w:rsidRPr="00673663">
        <w:rPr>
          <w:rFonts w:eastAsia="Calibri" w:cs="Times New Roman"/>
          <w:sz w:val="24"/>
          <w:szCs w:val="24"/>
          <w:lang w:val="en-US"/>
        </w:rPr>
        <w:t>Copy of relevant insurance policies</w:t>
      </w:r>
    </w:p>
    <w:p w14:paraId="432E9813" w14:textId="77777777" w:rsidR="0005555E" w:rsidRPr="00673663" w:rsidRDefault="0005555E" w:rsidP="0005555E">
      <w:pPr>
        <w:pStyle w:val="ListParagraph"/>
        <w:numPr>
          <w:ilvl w:val="0"/>
          <w:numId w:val="3"/>
        </w:numPr>
        <w:rPr>
          <w:rFonts w:eastAsia="Calibri" w:cs="Times New Roman"/>
          <w:sz w:val="24"/>
          <w:szCs w:val="24"/>
          <w:lang w:val="en-US"/>
        </w:rPr>
      </w:pPr>
      <w:r w:rsidRPr="00673663">
        <w:rPr>
          <w:rFonts w:eastAsia="Calibri" w:cs="Times New Roman"/>
          <w:sz w:val="24"/>
          <w:szCs w:val="24"/>
          <w:lang w:val="en-US"/>
        </w:rPr>
        <w:t xml:space="preserve">Details of relevant previous experience and </w:t>
      </w:r>
    </w:p>
    <w:p w14:paraId="6D8CDE00" w14:textId="77777777" w:rsidR="0005555E" w:rsidRPr="00673663" w:rsidRDefault="0005555E" w:rsidP="0005555E">
      <w:pPr>
        <w:pStyle w:val="ListParagraph"/>
        <w:numPr>
          <w:ilvl w:val="0"/>
          <w:numId w:val="3"/>
        </w:numPr>
        <w:rPr>
          <w:rFonts w:eastAsia="Calibri" w:cs="Times New Roman"/>
          <w:sz w:val="24"/>
          <w:szCs w:val="24"/>
          <w:lang w:val="en-US"/>
        </w:rPr>
      </w:pPr>
      <w:r w:rsidRPr="00673663">
        <w:rPr>
          <w:rFonts w:eastAsia="Calibri" w:cs="Times New Roman"/>
          <w:sz w:val="24"/>
          <w:szCs w:val="24"/>
          <w:lang w:val="en-US"/>
        </w:rPr>
        <w:t>Two references</w:t>
      </w:r>
    </w:p>
    <w:p w14:paraId="502DA2AE" w14:textId="77777777" w:rsidR="0005555E" w:rsidRPr="002B1EB4" w:rsidRDefault="0005555E" w:rsidP="0005555E">
      <w:pPr>
        <w:pStyle w:val="ListParagraph"/>
        <w:spacing w:after="0" w:line="276" w:lineRule="auto"/>
        <w:rPr>
          <w:rFonts w:eastAsia="Calibri" w:cs="Times New Roman"/>
          <w:sz w:val="24"/>
          <w:szCs w:val="24"/>
          <w:lang w:val="en-US"/>
        </w:rPr>
      </w:pPr>
    </w:p>
    <w:p w14:paraId="01C6D0A5" w14:textId="77777777" w:rsidR="0005555E" w:rsidRPr="002B1EB4" w:rsidRDefault="0005555E" w:rsidP="0005555E">
      <w:pPr>
        <w:spacing w:after="0" w:line="276" w:lineRule="auto"/>
        <w:rPr>
          <w:rFonts w:eastAsia="Calibri" w:cs="Times New Roman"/>
          <w:b/>
          <w:bCs/>
          <w:sz w:val="24"/>
          <w:szCs w:val="24"/>
          <w:u w:val="single"/>
          <w:lang w:val="en-US"/>
        </w:rPr>
      </w:pPr>
      <w:r w:rsidRPr="002B1EB4">
        <w:rPr>
          <w:rFonts w:eastAsia="Calibri" w:cs="Times New Roman"/>
          <w:b/>
          <w:bCs/>
          <w:sz w:val="24"/>
          <w:szCs w:val="24"/>
          <w:u w:val="single"/>
          <w:lang w:val="en-US"/>
        </w:rPr>
        <w:t xml:space="preserve">Budget: </w:t>
      </w:r>
    </w:p>
    <w:p w14:paraId="433EFED7" w14:textId="77777777" w:rsidR="0005555E" w:rsidRPr="002B1EB4" w:rsidRDefault="0005555E" w:rsidP="0005555E">
      <w:pPr>
        <w:pStyle w:val="ListParagraph"/>
        <w:numPr>
          <w:ilvl w:val="0"/>
          <w:numId w:val="4"/>
        </w:numPr>
        <w:spacing w:after="0" w:line="276" w:lineRule="auto"/>
        <w:rPr>
          <w:rFonts w:eastAsia="Calibri" w:cs="Times New Roman"/>
          <w:sz w:val="24"/>
          <w:szCs w:val="24"/>
          <w:lang w:val="en-US"/>
        </w:rPr>
      </w:pPr>
      <w:r w:rsidRPr="61C92CA3">
        <w:rPr>
          <w:rFonts w:eastAsia="Calibri" w:cs="Times New Roman"/>
          <w:sz w:val="24"/>
          <w:szCs w:val="24"/>
          <w:lang w:val="en-US"/>
        </w:rPr>
        <w:t xml:space="preserve">Applications should provide a detailed breakdown of total costs for all aspects of the proposed project including VAT. All quotations must be in euros. </w:t>
      </w:r>
    </w:p>
    <w:p w14:paraId="62C36116" w14:textId="16C1ECD2" w:rsidR="0005555E" w:rsidRPr="002B1EB4" w:rsidRDefault="0005555E" w:rsidP="0005555E">
      <w:pPr>
        <w:pStyle w:val="ListParagraph"/>
        <w:numPr>
          <w:ilvl w:val="0"/>
          <w:numId w:val="4"/>
        </w:numPr>
        <w:spacing w:after="0" w:line="276" w:lineRule="auto"/>
        <w:rPr>
          <w:rFonts w:eastAsia="Calibri" w:cs="Times New Roman"/>
          <w:sz w:val="24"/>
          <w:szCs w:val="24"/>
          <w:lang w:val="en-US"/>
        </w:rPr>
      </w:pPr>
      <w:r w:rsidRPr="002B1EB4">
        <w:rPr>
          <w:rFonts w:eastAsia="Calibri" w:cs="Times New Roman"/>
          <w:sz w:val="24"/>
          <w:szCs w:val="24"/>
          <w:lang w:val="en-US"/>
        </w:rPr>
        <w:t xml:space="preserve">There is a maximum budget </w:t>
      </w:r>
      <w:r w:rsidRPr="002359DF">
        <w:rPr>
          <w:rFonts w:eastAsia="Calibri" w:cs="Times New Roman"/>
          <w:sz w:val="24"/>
          <w:szCs w:val="24"/>
          <w:lang w:val="en-US"/>
        </w:rPr>
        <w:t>of €</w:t>
      </w:r>
      <w:r w:rsidR="00A37867">
        <w:rPr>
          <w:rFonts w:eastAsia="Calibri" w:cs="Times New Roman"/>
          <w:sz w:val="24"/>
          <w:szCs w:val="24"/>
          <w:lang w:val="en-US"/>
        </w:rPr>
        <w:t>10</w:t>
      </w:r>
      <w:r w:rsidRPr="002359DF">
        <w:rPr>
          <w:rFonts w:eastAsia="Calibri" w:cs="Times New Roman"/>
          <w:sz w:val="24"/>
          <w:szCs w:val="24"/>
          <w:lang w:val="en-US"/>
        </w:rPr>
        <w:t xml:space="preserve">,000 including </w:t>
      </w:r>
      <w:r w:rsidRPr="002B1EB4">
        <w:rPr>
          <w:rFonts w:eastAsia="Calibri" w:cs="Times New Roman"/>
          <w:sz w:val="24"/>
          <w:szCs w:val="24"/>
          <w:lang w:val="en-US"/>
        </w:rPr>
        <w:t>VAT and all project related expenses.</w:t>
      </w:r>
    </w:p>
    <w:p w14:paraId="7C7077CF" w14:textId="2982FB1F" w:rsidR="0005555E" w:rsidRPr="002B1EB4" w:rsidRDefault="004B2312" w:rsidP="0005555E">
      <w:pPr>
        <w:pStyle w:val="ListParagraph"/>
        <w:numPr>
          <w:ilvl w:val="0"/>
          <w:numId w:val="4"/>
        </w:numPr>
        <w:spacing w:after="0" w:line="276" w:lineRule="auto"/>
        <w:rPr>
          <w:rFonts w:eastAsia="Calibri" w:cs="Times New Roman"/>
          <w:sz w:val="24"/>
          <w:szCs w:val="24"/>
          <w:lang w:val="en-US"/>
        </w:rPr>
      </w:pPr>
      <w:r>
        <w:rPr>
          <w:rFonts w:eastAsia="Calibri" w:cs="Times New Roman"/>
          <w:sz w:val="24"/>
          <w:szCs w:val="24"/>
          <w:lang w:val="en-US"/>
        </w:rPr>
        <w:t xml:space="preserve">FYRC </w:t>
      </w:r>
      <w:r w:rsidR="004568FE">
        <w:rPr>
          <w:rFonts w:eastAsia="Calibri" w:cs="Times New Roman"/>
          <w:sz w:val="24"/>
          <w:szCs w:val="24"/>
          <w:lang w:val="en-US"/>
        </w:rPr>
        <w:t>and</w:t>
      </w:r>
      <w:r>
        <w:rPr>
          <w:rFonts w:eastAsia="Calibri" w:cs="Times New Roman"/>
          <w:sz w:val="24"/>
          <w:szCs w:val="24"/>
          <w:lang w:val="en-US"/>
        </w:rPr>
        <w:t xml:space="preserve"> FYS</w:t>
      </w:r>
      <w:r w:rsidR="0005555E" w:rsidRPr="61C92CA3">
        <w:rPr>
          <w:rFonts w:eastAsia="Calibri" w:cs="Times New Roman"/>
          <w:sz w:val="24"/>
          <w:szCs w:val="24"/>
          <w:lang w:val="en-US"/>
        </w:rPr>
        <w:t xml:space="preserve"> reserve the right not to award the contract if no proposal is deemed suitable</w:t>
      </w:r>
    </w:p>
    <w:p w14:paraId="01B132D8" w14:textId="0931048E" w:rsidR="0005555E" w:rsidRPr="002B1EB4" w:rsidRDefault="004B2312" w:rsidP="0005555E">
      <w:pPr>
        <w:pStyle w:val="ListParagraph"/>
        <w:numPr>
          <w:ilvl w:val="0"/>
          <w:numId w:val="4"/>
        </w:numPr>
        <w:spacing w:after="0" w:line="276" w:lineRule="auto"/>
        <w:rPr>
          <w:rFonts w:eastAsia="Calibri" w:cs="Times New Roman"/>
          <w:sz w:val="24"/>
          <w:szCs w:val="24"/>
          <w:lang w:val="en-US"/>
        </w:rPr>
      </w:pPr>
      <w:r>
        <w:rPr>
          <w:rFonts w:eastAsia="Calibri" w:cs="Times New Roman"/>
          <w:sz w:val="24"/>
          <w:szCs w:val="24"/>
          <w:lang w:val="en-US"/>
        </w:rPr>
        <w:t xml:space="preserve">FYRC and FYS </w:t>
      </w:r>
      <w:r w:rsidR="0005555E" w:rsidRPr="61C92CA3">
        <w:rPr>
          <w:rFonts w:eastAsia="Calibri" w:cs="Times New Roman"/>
          <w:sz w:val="24"/>
          <w:szCs w:val="24"/>
          <w:lang w:val="en-US"/>
        </w:rPr>
        <w:t>will not be liable for any costs incurred in the preparation of the tender.</w:t>
      </w:r>
    </w:p>
    <w:p w14:paraId="05F838A7" w14:textId="77777777" w:rsidR="0005555E" w:rsidRPr="002B1EB4" w:rsidRDefault="0005555E" w:rsidP="0005555E">
      <w:pPr>
        <w:spacing w:line="276" w:lineRule="auto"/>
        <w:rPr>
          <w:rFonts w:cs="Times New Roman"/>
          <w:i/>
          <w:sz w:val="24"/>
          <w:szCs w:val="24"/>
          <w:u w:val="single"/>
        </w:rPr>
      </w:pPr>
    </w:p>
    <w:p w14:paraId="1EA20A48" w14:textId="77777777" w:rsidR="0005555E" w:rsidRPr="002B1EB4" w:rsidRDefault="0005555E" w:rsidP="0005555E">
      <w:pPr>
        <w:spacing w:line="276" w:lineRule="auto"/>
        <w:rPr>
          <w:rFonts w:cs="Times New Roman"/>
          <w:b/>
          <w:sz w:val="24"/>
          <w:szCs w:val="24"/>
          <w:u w:val="single"/>
        </w:rPr>
      </w:pPr>
      <w:r w:rsidRPr="002B1EB4">
        <w:rPr>
          <w:rFonts w:cs="Times New Roman"/>
          <w:b/>
          <w:sz w:val="24"/>
          <w:szCs w:val="24"/>
          <w:u w:val="single"/>
        </w:rPr>
        <w:t>Timescale</w:t>
      </w:r>
      <w:r>
        <w:rPr>
          <w:rFonts w:cs="Times New Roman"/>
          <w:b/>
          <w:sz w:val="24"/>
          <w:szCs w:val="24"/>
          <w:u w:val="single"/>
        </w:rPr>
        <w:t>:</w:t>
      </w:r>
    </w:p>
    <w:p w14:paraId="49712BB0" w14:textId="0942AC6A" w:rsidR="0005555E" w:rsidRPr="002B1EB4" w:rsidRDefault="0005555E" w:rsidP="0005555E">
      <w:pPr>
        <w:spacing w:line="276" w:lineRule="auto"/>
        <w:rPr>
          <w:rFonts w:cs="Times New Roman"/>
          <w:sz w:val="24"/>
          <w:szCs w:val="24"/>
        </w:rPr>
      </w:pPr>
      <w:r w:rsidRPr="002B1EB4">
        <w:rPr>
          <w:rFonts w:cs="Times New Roman"/>
          <w:sz w:val="24"/>
          <w:szCs w:val="24"/>
        </w:rPr>
        <w:t xml:space="preserve">It is envisaged the project work will take place between </w:t>
      </w:r>
      <w:r w:rsidR="00AD1FA8">
        <w:rPr>
          <w:rFonts w:cs="Times New Roman"/>
          <w:sz w:val="24"/>
          <w:szCs w:val="24"/>
        </w:rPr>
        <w:t>May</w:t>
      </w:r>
      <w:r w:rsidR="00437B6C">
        <w:rPr>
          <w:rFonts w:cs="Times New Roman"/>
          <w:sz w:val="24"/>
          <w:szCs w:val="24"/>
        </w:rPr>
        <w:t xml:space="preserve"> </w:t>
      </w:r>
      <w:r w:rsidR="004568FE">
        <w:rPr>
          <w:rFonts w:cs="Times New Roman"/>
          <w:sz w:val="24"/>
          <w:szCs w:val="24"/>
        </w:rPr>
        <w:t>2025</w:t>
      </w:r>
      <w:r w:rsidRPr="002B1EB4">
        <w:rPr>
          <w:rFonts w:cs="Times New Roman"/>
          <w:sz w:val="24"/>
          <w:szCs w:val="24"/>
        </w:rPr>
        <w:t xml:space="preserve"> – </w:t>
      </w:r>
      <w:r w:rsidR="00437B6C">
        <w:rPr>
          <w:rFonts w:cs="Times New Roman"/>
          <w:sz w:val="24"/>
          <w:szCs w:val="24"/>
        </w:rPr>
        <w:t xml:space="preserve">September </w:t>
      </w:r>
      <w:r>
        <w:rPr>
          <w:rFonts w:cs="Times New Roman"/>
          <w:sz w:val="24"/>
          <w:szCs w:val="24"/>
        </w:rPr>
        <w:t>2025</w:t>
      </w:r>
      <w:r w:rsidRPr="002B1EB4">
        <w:rPr>
          <w:rFonts w:cs="Times New Roman"/>
          <w:sz w:val="24"/>
          <w:szCs w:val="24"/>
        </w:rPr>
        <w:t xml:space="preserve">. A final report should be submitted by </w:t>
      </w:r>
      <w:r>
        <w:rPr>
          <w:rFonts w:cs="Times New Roman"/>
          <w:sz w:val="24"/>
          <w:szCs w:val="24"/>
        </w:rPr>
        <w:t>1</w:t>
      </w:r>
      <w:r w:rsidR="00020661">
        <w:rPr>
          <w:rFonts w:cs="Times New Roman"/>
          <w:sz w:val="24"/>
          <w:szCs w:val="24"/>
        </w:rPr>
        <w:t>7</w:t>
      </w:r>
      <w:r w:rsidR="00020661" w:rsidRPr="00020661">
        <w:rPr>
          <w:rFonts w:cs="Times New Roman"/>
          <w:sz w:val="24"/>
          <w:szCs w:val="24"/>
          <w:vertAlign w:val="superscript"/>
        </w:rPr>
        <w:t>th</w:t>
      </w:r>
      <w:r w:rsidR="00020661">
        <w:rPr>
          <w:rFonts w:cs="Times New Roman"/>
          <w:sz w:val="24"/>
          <w:szCs w:val="24"/>
        </w:rPr>
        <w:t xml:space="preserve"> October </w:t>
      </w:r>
      <w:r>
        <w:rPr>
          <w:rFonts w:cs="Times New Roman"/>
          <w:sz w:val="24"/>
          <w:szCs w:val="24"/>
        </w:rPr>
        <w:t>2025</w:t>
      </w:r>
    </w:p>
    <w:p w14:paraId="15A5CABB" w14:textId="77777777" w:rsidR="0005555E" w:rsidRDefault="0005555E" w:rsidP="0005555E">
      <w:pPr>
        <w:spacing w:line="276" w:lineRule="auto"/>
        <w:rPr>
          <w:rFonts w:cs="Times New Roman"/>
          <w:b/>
          <w:sz w:val="24"/>
          <w:szCs w:val="24"/>
          <w:u w:val="single"/>
        </w:rPr>
      </w:pPr>
      <w:r w:rsidRPr="002B1EB4">
        <w:rPr>
          <w:rFonts w:cs="Times New Roman"/>
          <w:b/>
          <w:sz w:val="24"/>
          <w:szCs w:val="24"/>
          <w:u w:val="single"/>
        </w:rPr>
        <w:t>Reporting Structure</w:t>
      </w:r>
      <w:r>
        <w:rPr>
          <w:rFonts w:cs="Times New Roman"/>
          <w:b/>
          <w:sz w:val="24"/>
          <w:szCs w:val="24"/>
          <w:u w:val="single"/>
        </w:rPr>
        <w:t>:</w:t>
      </w:r>
    </w:p>
    <w:p w14:paraId="145F242E" w14:textId="321A3E22" w:rsidR="0005555E" w:rsidRPr="007465BF" w:rsidRDefault="0005555E" w:rsidP="0005555E">
      <w:pPr>
        <w:spacing w:line="276" w:lineRule="auto"/>
        <w:rPr>
          <w:rFonts w:cs="Times New Roman"/>
          <w:b/>
          <w:sz w:val="24"/>
          <w:szCs w:val="24"/>
          <w:u w:val="single"/>
        </w:rPr>
      </w:pPr>
      <w:r w:rsidRPr="002B1EB4">
        <w:rPr>
          <w:rFonts w:eastAsia="Times New Roman" w:cs="Times New Roman"/>
          <w:bCs/>
          <w:sz w:val="24"/>
          <w:szCs w:val="24"/>
          <w:lang w:val="en-GB" w:eastAsia="en-GB"/>
        </w:rPr>
        <w:t>The successful tender will report to</w:t>
      </w:r>
      <w:r w:rsidR="006E0BD7">
        <w:rPr>
          <w:rFonts w:eastAsia="Times New Roman" w:cs="Times New Roman"/>
          <w:bCs/>
          <w:sz w:val="24"/>
          <w:szCs w:val="24"/>
          <w:lang w:val="en-GB" w:eastAsia="en-GB"/>
        </w:rPr>
        <w:t xml:space="preserve"> Finglas Youth Resource Centre and Crosscare Finglas Youth Service and Dublin City Council by way of </w:t>
      </w:r>
      <w:r w:rsidR="00E42FF6">
        <w:rPr>
          <w:rFonts w:eastAsia="Times New Roman" w:cs="Times New Roman"/>
          <w:bCs/>
          <w:sz w:val="24"/>
          <w:szCs w:val="24"/>
          <w:lang w:val="en-GB" w:eastAsia="en-GB"/>
        </w:rPr>
        <w:t>3 meetings within the timeframe.</w:t>
      </w:r>
    </w:p>
    <w:p w14:paraId="20FBADB0" w14:textId="2054CE2C" w:rsidR="0005555E" w:rsidRPr="002B1EB4" w:rsidRDefault="0005555E" w:rsidP="0005555E">
      <w:pPr>
        <w:spacing w:line="276" w:lineRule="auto"/>
        <w:rPr>
          <w:rFonts w:cs="Times New Roman"/>
          <w:sz w:val="24"/>
          <w:szCs w:val="24"/>
          <w:u w:val="single"/>
        </w:rPr>
      </w:pPr>
      <w:r w:rsidRPr="002B1EB4">
        <w:rPr>
          <w:rFonts w:cs="Times New Roman"/>
          <w:sz w:val="24"/>
          <w:szCs w:val="24"/>
        </w:rPr>
        <w:t xml:space="preserve">The successful tenderer will have the support of the </w:t>
      </w:r>
      <w:r w:rsidR="0029770C">
        <w:rPr>
          <w:rFonts w:cs="Times New Roman"/>
          <w:sz w:val="24"/>
          <w:szCs w:val="24"/>
        </w:rPr>
        <w:t>2 Youth Services.</w:t>
      </w:r>
      <w:r w:rsidRPr="002B1EB4">
        <w:rPr>
          <w:rFonts w:cs="Times New Roman"/>
          <w:sz w:val="24"/>
          <w:szCs w:val="24"/>
        </w:rPr>
        <w:t xml:space="preserve"> </w:t>
      </w:r>
    </w:p>
    <w:p w14:paraId="7242FC85" w14:textId="30F67866" w:rsidR="0005555E" w:rsidRDefault="0005555E" w:rsidP="0005555E">
      <w:pPr>
        <w:spacing w:after="0" w:line="276" w:lineRule="auto"/>
        <w:jc w:val="both"/>
        <w:rPr>
          <w:rFonts w:eastAsia="Times New Roman" w:cs="Times New Roman"/>
          <w:b/>
          <w:bCs/>
          <w:sz w:val="24"/>
          <w:szCs w:val="24"/>
          <w:u w:val="single"/>
          <w:lang w:val="en-GB" w:eastAsia="en-GB"/>
        </w:rPr>
      </w:pPr>
      <w:r w:rsidRPr="002B1EB4">
        <w:rPr>
          <w:rFonts w:eastAsia="Times New Roman" w:cs="Times New Roman"/>
          <w:b/>
          <w:bCs/>
          <w:sz w:val="24"/>
          <w:szCs w:val="24"/>
          <w:u w:val="single"/>
          <w:lang w:val="en-GB" w:eastAsia="en-GB"/>
        </w:rPr>
        <w:lastRenderedPageBreak/>
        <w:t>Selection and Award of Contract:</w:t>
      </w:r>
    </w:p>
    <w:p w14:paraId="7A75A815" w14:textId="77777777" w:rsidR="0005555E" w:rsidRPr="002B1EB4" w:rsidRDefault="0005555E" w:rsidP="0005555E">
      <w:pPr>
        <w:spacing w:after="0" w:line="276" w:lineRule="auto"/>
        <w:jc w:val="both"/>
        <w:rPr>
          <w:rFonts w:eastAsia="Times New Roman" w:cs="Times New Roman"/>
          <w:b/>
          <w:bCs/>
          <w:sz w:val="24"/>
          <w:szCs w:val="24"/>
          <w:u w:val="single"/>
          <w:lang w:val="en-GB" w:eastAsia="en-GB"/>
        </w:rPr>
      </w:pPr>
    </w:p>
    <w:p w14:paraId="0EDE7461" w14:textId="77777777" w:rsidR="0005555E" w:rsidRPr="002B1EB4" w:rsidRDefault="0005555E" w:rsidP="0005555E">
      <w:pPr>
        <w:spacing w:after="0" w:line="276" w:lineRule="auto"/>
        <w:jc w:val="both"/>
        <w:rPr>
          <w:rFonts w:eastAsia="Times New Roman" w:cs="Times New Roman"/>
          <w:bCs/>
          <w:sz w:val="24"/>
          <w:szCs w:val="24"/>
          <w:lang w:val="en-GB" w:eastAsia="en-GB"/>
        </w:rPr>
      </w:pPr>
      <w:r w:rsidRPr="002B1EB4">
        <w:rPr>
          <w:rFonts w:eastAsia="Times New Roman" w:cs="Times New Roman"/>
          <w:bCs/>
          <w:sz w:val="24"/>
          <w:szCs w:val="24"/>
          <w:lang w:val="en-GB" w:eastAsia="en-GB"/>
        </w:rPr>
        <w:t>Eligibility will be determined in accordance with criteria below:</w:t>
      </w:r>
    </w:p>
    <w:p w14:paraId="07235CAC" w14:textId="77777777" w:rsidR="0005555E" w:rsidRPr="002B1EB4" w:rsidRDefault="0005555E" w:rsidP="0005555E">
      <w:pPr>
        <w:pStyle w:val="ListParagraph"/>
        <w:numPr>
          <w:ilvl w:val="0"/>
          <w:numId w:val="5"/>
        </w:numPr>
        <w:spacing w:after="0" w:line="276" w:lineRule="auto"/>
        <w:jc w:val="both"/>
        <w:rPr>
          <w:rFonts w:eastAsia="Times New Roman" w:cs="Times New Roman"/>
          <w:bCs/>
          <w:sz w:val="24"/>
          <w:szCs w:val="24"/>
          <w:lang w:val="en-GB" w:eastAsia="en-GB"/>
        </w:rPr>
      </w:pPr>
      <w:r w:rsidRPr="002B1EB4">
        <w:rPr>
          <w:rFonts w:eastAsia="Times New Roman" w:cs="Times New Roman"/>
          <w:bCs/>
          <w:sz w:val="24"/>
          <w:szCs w:val="24"/>
          <w:lang w:val="en-GB" w:eastAsia="en-GB"/>
        </w:rPr>
        <w:t>Demonstrable understanding of the brief</w:t>
      </w:r>
    </w:p>
    <w:p w14:paraId="72A6E522" w14:textId="77777777" w:rsidR="0005555E" w:rsidRPr="002B1EB4" w:rsidRDefault="0005555E" w:rsidP="0005555E">
      <w:pPr>
        <w:pStyle w:val="ListParagraph"/>
        <w:numPr>
          <w:ilvl w:val="0"/>
          <w:numId w:val="5"/>
        </w:numPr>
        <w:spacing w:after="0" w:line="276" w:lineRule="auto"/>
        <w:jc w:val="both"/>
        <w:rPr>
          <w:rFonts w:eastAsia="Times New Roman" w:cs="Times New Roman"/>
          <w:bCs/>
          <w:sz w:val="24"/>
          <w:szCs w:val="24"/>
          <w:lang w:val="en-GB" w:eastAsia="en-GB"/>
        </w:rPr>
      </w:pPr>
      <w:r w:rsidRPr="002B1EB4">
        <w:rPr>
          <w:rFonts w:eastAsia="Times New Roman" w:cs="Times New Roman"/>
          <w:bCs/>
          <w:sz w:val="24"/>
          <w:szCs w:val="24"/>
          <w:lang w:val="en-GB" w:eastAsia="en-GB"/>
        </w:rPr>
        <w:t>Capacity and resources to deliver the plan as proposed, including necessary skills and knowledge</w:t>
      </w:r>
    </w:p>
    <w:p w14:paraId="07B14177" w14:textId="77777777" w:rsidR="0005555E" w:rsidRPr="002B1EB4" w:rsidRDefault="0005555E" w:rsidP="0005555E">
      <w:pPr>
        <w:pStyle w:val="ListParagraph"/>
        <w:numPr>
          <w:ilvl w:val="0"/>
          <w:numId w:val="5"/>
        </w:numPr>
        <w:spacing w:after="0" w:line="276" w:lineRule="auto"/>
        <w:jc w:val="both"/>
        <w:rPr>
          <w:rFonts w:eastAsia="Times New Roman" w:cs="Times New Roman"/>
          <w:bCs/>
          <w:sz w:val="24"/>
          <w:szCs w:val="24"/>
          <w:lang w:val="en-GB" w:eastAsia="en-GB"/>
        </w:rPr>
      </w:pPr>
      <w:r w:rsidRPr="002B1EB4">
        <w:rPr>
          <w:rFonts w:eastAsia="Times New Roman" w:cs="Times New Roman"/>
          <w:bCs/>
          <w:sz w:val="24"/>
          <w:szCs w:val="24"/>
          <w:lang w:val="en-GB" w:eastAsia="en-GB"/>
        </w:rPr>
        <w:t>Previous experience</w:t>
      </w:r>
    </w:p>
    <w:p w14:paraId="36292C4D" w14:textId="77777777" w:rsidR="0005555E" w:rsidRPr="002B1EB4" w:rsidRDefault="0005555E" w:rsidP="0005555E">
      <w:pPr>
        <w:pStyle w:val="ListParagraph"/>
        <w:numPr>
          <w:ilvl w:val="0"/>
          <w:numId w:val="5"/>
        </w:numPr>
        <w:spacing w:after="0" w:line="276" w:lineRule="auto"/>
        <w:jc w:val="both"/>
        <w:rPr>
          <w:rFonts w:eastAsia="Times New Roman" w:cs="Times New Roman"/>
          <w:bCs/>
          <w:sz w:val="24"/>
          <w:szCs w:val="24"/>
          <w:lang w:val="en-GB" w:eastAsia="en-GB"/>
        </w:rPr>
      </w:pPr>
      <w:r w:rsidRPr="002B1EB4">
        <w:rPr>
          <w:rFonts w:eastAsia="Times New Roman" w:cs="Times New Roman"/>
          <w:bCs/>
          <w:sz w:val="24"/>
          <w:szCs w:val="24"/>
          <w:lang w:val="en-GB" w:eastAsia="en-GB"/>
        </w:rPr>
        <w:t>Ability to deliver within proposed timeframe</w:t>
      </w:r>
    </w:p>
    <w:p w14:paraId="6495570B" w14:textId="77777777" w:rsidR="0005555E" w:rsidRPr="002B1EB4" w:rsidRDefault="0005555E" w:rsidP="0005555E">
      <w:pPr>
        <w:pStyle w:val="ListParagraph"/>
        <w:numPr>
          <w:ilvl w:val="0"/>
          <w:numId w:val="5"/>
        </w:numPr>
        <w:spacing w:after="0" w:line="276" w:lineRule="auto"/>
        <w:jc w:val="both"/>
        <w:rPr>
          <w:rFonts w:eastAsia="Times New Roman" w:cs="Times New Roman"/>
          <w:bCs/>
          <w:sz w:val="24"/>
          <w:szCs w:val="24"/>
          <w:lang w:val="en-GB" w:eastAsia="en-GB"/>
        </w:rPr>
      </w:pPr>
      <w:r w:rsidRPr="002B1EB4">
        <w:rPr>
          <w:rFonts w:eastAsia="Times New Roman" w:cs="Times New Roman"/>
          <w:bCs/>
          <w:sz w:val="24"/>
          <w:szCs w:val="24"/>
          <w:lang w:val="en-GB" w:eastAsia="en-GB"/>
        </w:rPr>
        <w:t>Value for money in costings</w:t>
      </w:r>
    </w:p>
    <w:p w14:paraId="3CDAF1FB" w14:textId="0EBE3554" w:rsidR="0005555E" w:rsidRDefault="0005555E" w:rsidP="0005555E">
      <w:pPr>
        <w:spacing w:after="0" w:line="276" w:lineRule="auto"/>
        <w:jc w:val="both"/>
        <w:rPr>
          <w:rFonts w:eastAsia="Times New Roman" w:cs="Times New Roman"/>
          <w:b/>
          <w:bCs/>
          <w:sz w:val="24"/>
          <w:szCs w:val="24"/>
          <w:u w:val="single"/>
          <w:lang w:val="en-GB" w:eastAsia="en-GB"/>
        </w:rPr>
      </w:pPr>
      <w:r w:rsidRPr="002B1EB4">
        <w:rPr>
          <w:rFonts w:eastAsia="Times New Roman" w:cs="Times New Roman"/>
          <w:b/>
          <w:bCs/>
          <w:sz w:val="24"/>
          <w:szCs w:val="24"/>
          <w:u w:val="single"/>
          <w:lang w:val="en-GB" w:eastAsia="en-GB"/>
        </w:rPr>
        <w:t>Application deadline:</w:t>
      </w:r>
    </w:p>
    <w:p w14:paraId="32108932" w14:textId="77777777" w:rsidR="0005555E" w:rsidRPr="002B1EB4" w:rsidRDefault="0005555E" w:rsidP="0005555E">
      <w:pPr>
        <w:spacing w:after="0" w:line="276" w:lineRule="auto"/>
        <w:jc w:val="both"/>
        <w:rPr>
          <w:rFonts w:eastAsia="Times New Roman" w:cs="Times New Roman"/>
          <w:b/>
          <w:bCs/>
          <w:sz w:val="24"/>
          <w:szCs w:val="24"/>
          <w:u w:val="single"/>
          <w:lang w:val="en-GB" w:eastAsia="en-GB"/>
        </w:rPr>
      </w:pPr>
    </w:p>
    <w:p w14:paraId="3681F2F1" w14:textId="6548DDB1" w:rsidR="0005555E" w:rsidRDefault="0005555E" w:rsidP="0005555E">
      <w:pPr>
        <w:spacing w:after="0" w:line="276" w:lineRule="auto"/>
        <w:jc w:val="both"/>
        <w:rPr>
          <w:rFonts w:eastAsia="Times New Roman" w:cs="Times New Roman"/>
          <w:bCs/>
          <w:sz w:val="24"/>
          <w:szCs w:val="24"/>
          <w:lang w:val="en-GB" w:eastAsia="en-GB"/>
        </w:rPr>
      </w:pPr>
      <w:r w:rsidRPr="002B1EB4">
        <w:rPr>
          <w:rFonts w:eastAsia="Times New Roman" w:cs="Times New Roman"/>
          <w:bCs/>
          <w:sz w:val="24"/>
          <w:szCs w:val="24"/>
          <w:lang w:val="en-GB" w:eastAsia="en-GB"/>
        </w:rPr>
        <w:t>Tenders must be submitted by email to:</w:t>
      </w:r>
    </w:p>
    <w:p w14:paraId="06A5D484" w14:textId="76D61C4F" w:rsidR="0005555E" w:rsidRPr="0005555E" w:rsidRDefault="00B94E28" w:rsidP="0005555E">
      <w:pPr>
        <w:spacing w:after="0" w:line="276" w:lineRule="auto"/>
        <w:jc w:val="both"/>
        <w:rPr>
          <w:rFonts w:eastAsia="Times New Roman" w:cs="Times New Roman"/>
          <w:b/>
          <w:bCs/>
          <w:sz w:val="24"/>
          <w:szCs w:val="24"/>
          <w:lang w:val="en-GB" w:eastAsia="en-GB"/>
        </w:rPr>
      </w:pPr>
      <w:r>
        <w:rPr>
          <w:rFonts w:eastAsia="Times New Roman" w:cs="Times New Roman"/>
          <w:bCs/>
          <w:sz w:val="24"/>
          <w:szCs w:val="24"/>
          <w:lang w:val="en-GB" w:eastAsia="en-GB"/>
        </w:rPr>
        <w:t xml:space="preserve">Ger Magee, </w:t>
      </w:r>
      <w:r w:rsidR="00961359">
        <w:rPr>
          <w:rFonts w:eastAsia="Times New Roman" w:cs="Times New Roman"/>
          <w:bCs/>
          <w:sz w:val="24"/>
          <w:szCs w:val="24"/>
          <w:lang w:val="en-GB" w:eastAsia="en-GB"/>
        </w:rPr>
        <w:t xml:space="preserve">Crosscare </w:t>
      </w:r>
      <w:hyperlink r:id="rId10" w:history="1">
        <w:r w:rsidR="00961359" w:rsidRPr="0012609F">
          <w:rPr>
            <w:rStyle w:val="Hyperlink"/>
            <w:rFonts w:eastAsia="Times New Roman" w:cs="Times New Roman"/>
            <w:bCs/>
            <w:sz w:val="24"/>
            <w:szCs w:val="24"/>
            <w:lang w:val="en-GB" w:eastAsia="en-GB"/>
          </w:rPr>
          <w:t>gmagee@crosscare.ie</w:t>
        </w:r>
      </w:hyperlink>
      <w:r w:rsidR="00961359">
        <w:rPr>
          <w:rFonts w:eastAsia="Times New Roman" w:cs="Times New Roman"/>
          <w:bCs/>
          <w:sz w:val="24"/>
          <w:szCs w:val="24"/>
          <w:lang w:val="en-GB" w:eastAsia="en-GB"/>
        </w:rPr>
        <w:t xml:space="preserve"> by close of business on </w:t>
      </w:r>
      <w:r w:rsidR="00EF0209">
        <w:rPr>
          <w:rFonts w:eastAsia="Times New Roman" w:cs="Times New Roman"/>
          <w:bCs/>
          <w:sz w:val="24"/>
          <w:szCs w:val="24"/>
          <w:lang w:val="en-GB" w:eastAsia="en-GB"/>
        </w:rPr>
        <w:t>Wednesday 30</w:t>
      </w:r>
      <w:r w:rsidR="00EF0209" w:rsidRPr="00EF0209">
        <w:rPr>
          <w:rFonts w:eastAsia="Times New Roman" w:cs="Times New Roman"/>
          <w:bCs/>
          <w:sz w:val="24"/>
          <w:szCs w:val="24"/>
          <w:vertAlign w:val="superscript"/>
          <w:lang w:val="en-GB" w:eastAsia="en-GB"/>
        </w:rPr>
        <w:t>th</w:t>
      </w:r>
      <w:r w:rsidR="00EF0209">
        <w:rPr>
          <w:rFonts w:eastAsia="Times New Roman" w:cs="Times New Roman"/>
          <w:bCs/>
          <w:sz w:val="24"/>
          <w:szCs w:val="24"/>
          <w:lang w:val="en-GB" w:eastAsia="en-GB"/>
        </w:rPr>
        <w:t xml:space="preserve"> </w:t>
      </w:r>
      <w:r w:rsidR="00AD1FA8">
        <w:rPr>
          <w:rFonts w:eastAsia="Times New Roman" w:cs="Times New Roman"/>
          <w:bCs/>
          <w:sz w:val="24"/>
          <w:szCs w:val="24"/>
          <w:lang w:val="en-GB" w:eastAsia="en-GB"/>
        </w:rPr>
        <w:t>April, 2025.</w:t>
      </w:r>
    </w:p>
    <w:p w14:paraId="22D6917D" w14:textId="77777777" w:rsidR="0005555E" w:rsidRPr="002B1EB4" w:rsidRDefault="0005555E" w:rsidP="0005555E">
      <w:pPr>
        <w:spacing w:after="0" w:line="276" w:lineRule="auto"/>
        <w:jc w:val="both"/>
        <w:rPr>
          <w:rFonts w:eastAsia="Times New Roman" w:cs="Times New Roman"/>
          <w:bCs/>
          <w:sz w:val="24"/>
          <w:szCs w:val="24"/>
          <w:lang w:val="en-GB" w:eastAsia="en-GB"/>
        </w:rPr>
      </w:pPr>
    </w:p>
    <w:p w14:paraId="1C983178" w14:textId="2D99060D" w:rsidR="0005555E" w:rsidRDefault="0005555E" w:rsidP="0005555E">
      <w:pPr>
        <w:spacing w:after="0" w:line="276" w:lineRule="auto"/>
        <w:jc w:val="both"/>
        <w:rPr>
          <w:rFonts w:eastAsia="Times New Roman" w:cs="Times New Roman"/>
          <w:bCs/>
          <w:sz w:val="24"/>
          <w:szCs w:val="24"/>
          <w:lang w:val="en-GB" w:eastAsia="en-GB"/>
        </w:rPr>
      </w:pPr>
      <w:r w:rsidRPr="002B1EB4">
        <w:rPr>
          <w:rFonts w:eastAsia="Times New Roman" w:cs="Times New Roman"/>
          <w:bCs/>
          <w:sz w:val="24"/>
          <w:szCs w:val="24"/>
          <w:lang w:val="en-GB" w:eastAsia="en-GB"/>
        </w:rPr>
        <w:t xml:space="preserve">All queries concerning this document should be emailed </w:t>
      </w:r>
      <w:r>
        <w:rPr>
          <w:rFonts w:eastAsia="Times New Roman" w:cs="Times New Roman"/>
          <w:bCs/>
          <w:sz w:val="24"/>
          <w:szCs w:val="24"/>
          <w:lang w:val="en-GB" w:eastAsia="en-GB"/>
        </w:rPr>
        <w:t xml:space="preserve">to </w:t>
      </w:r>
      <w:hyperlink r:id="rId11" w:history="1">
        <w:r w:rsidR="009F4632" w:rsidRPr="00E34AAF">
          <w:rPr>
            <w:rStyle w:val="Hyperlink"/>
            <w:rFonts w:eastAsia="Times New Roman" w:cs="Times New Roman"/>
            <w:bCs/>
            <w:sz w:val="24"/>
            <w:szCs w:val="24"/>
            <w:lang w:val="en-GB" w:eastAsia="en-GB"/>
          </w:rPr>
          <w:t>rachel.kelly@fyrc.ie</w:t>
        </w:r>
      </w:hyperlink>
      <w:r w:rsidR="009F4632">
        <w:rPr>
          <w:rFonts w:eastAsia="Times New Roman" w:cs="Times New Roman"/>
          <w:bCs/>
          <w:sz w:val="24"/>
          <w:szCs w:val="24"/>
          <w:lang w:val="en-GB" w:eastAsia="en-GB"/>
        </w:rPr>
        <w:t xml:space="preserve"> or </w:t>
      </w:r>
      <w:hyperlink r:id="rId12" w:history="1">
        <w:r w:rsidR="009F4632" w:rsidRPr="00E34AAF">
          <w:rPr>
            <w:rStyle w:val="Hyperlink"/>
            <w:rFonts w:eastAsia="Times New Roman" w:cs="Times New Roman"/>
            <w:bCs/>
            <w:sz w:val="24"/>
            <w:szCs w:val="24"/>
            <w:lang w:val="en-GB" w:eastAsia="en-GB"/>
          </w:rPr>
          <w:t>ciaramurphy@crosscare.ie</w:t>
        </w:r>
      </w:hyperlink>
      <w:r w:rsidR="009F4632">
        <w:rPr>
          <w:rFonts w:eastAsia="Times New Roman" w:cs="Times New Roman"/>
          <w:bCs/>
          <w:sz w:val="24"/>
          <w:szCs w:val="24"/>
          <w:lang w:val="en-GB" w:eastAsia="en-GB"/>
        </w:rPr>
        <w:t xml:space="preserve"> </w:t>
      </w:r>
    </w:p>
    <w:p w14:paraId="5F1E3A3C" w14:textId="5C86A388" w:rsidR="009711C0" w:rsidRPr="00603F8E" w:rsidRDefault="009F4632" w:rsidP="00BA3812">
      <w:pPr>
        <w:tabs>
          <w:tab w:val="left" w:pos="3300"/>
        </w:tabs>
        <w:rPr>
          <w:rFonts w:ascii="Times New Roman" w:hAnsi="Times New Roman" w:cs="Times New Roman"/>
          <w:sz w:val="24"/>
        </w:rPr>
      </w:pPr>
      <w:r>
        <w:rPr>
          <w:rFonts w:ascii="Times New Roman" w:hAnsi="Times New Roman" w:cs="Times New Roman"/>
          <w:sz w:val="24"/>
        </w:rPr>
        <w:t>This research is supported by Dublin City Council</w:t>
      </w:r>
      <w:r w:rsidR="009D51F1">
        <w:rPr>
          <w:rFonts w:ascii="Times New Roman" w:hAnsi="Times New Roman" w:cs="Times New Roman"/>
          <w:sz w:val="24"/>
        </w:rPr>
        <w:t xml:space="preserve"> (DCC), </w:t>
      </w:r>
      <w:r w:rsidR="00A235D4">
        <w:rPr>
          <w:rFonts w:ascii="Times New Roman" w:hAnsi="Times New Roman" w:cs="Times New Roman"/>
          <w:sz w:val="24"/>
        </w:rPr>
        <w:t>the Irish Youth Justice Service</w:t>
      </w:r>
      <w:r w:rsidR="009D51F1">
        <w:rPr>
          <w:rFonts w:ascii="Times New Roman" w:hAnsi="Times New Roman" w:cs="Times New Roman"/>
          <w:sz w:val="24"/>
        </w:rPr>
        <w:t xml:space="preserve"> (IYJS) and City of Dublin Youth Services (CDYS)</w:t>
      </w:r>
    </w:p>
    <w:p w14:paraId="7899C0B5" w14:textId="77777777" w:rsidR="009711C0" w:rsidRDefault="009711C0" w:rsidP="00BA3812">
      <w:pPr>
        <w:tabs>
          <w:tab w:val="left" w:pos="3300"/>
        </w:tabs>
      </w:pPr>
    </w:p>
    <w:p w14:paraId="1FBA1475" w14:textId="62F3D7C4" w:rsidR="003175E5" w:rsidRDefault="003B57E9" w:rsidP="003175E5">
      <w:pPr>
        <w:tabs>
          <w:tab w:val="left" w:pos="3300"/>
        </w:tabs>
        <w:jc w:val="center"/>
        <w:rPr>
          <w:rFonts w:ascii="Times New Roman" w:hAnsi="Times New Roman" w:cs="Times New Roman"/>
          <w:noProof/>
          <w:sz w:val="24"/>
        </w:rPr>
      </w:pPr>
      <w:r>
        <w:rPr>
          <w:rFonts w:ascii="Times New Roman" w:hAnsi="Times New Roman" w:cs="Times New Roman"/>
          <w:noProof/>
          <w:sz w:val="24"/>
        </w:rPr>
        <w:t xml:space="preserve">     </w:t>
      </w:r>
    </w:p>
    <w:p w14:paraId="2BA4A5A1" w14:textId="77777777" w:rsidR="003175E5" w:rsidRDefault="003175E5" w:rsidP="003175E5">
      <w:pPr>
        <w:tabs>
          <w:tab w:val="left" w:pos="3300"/>
        </w:tabs>
        <w:jc w:val="center"/>
        <w:rPr>
          <w:rFonts w:ascii="Times New Roman" w:hAnsi="Times New Roman" w:cs="Times New Roman"/>
          <w:noProof/>
          <w:sz w:val="24"/>
        </w:rPr>
      </w:pPr>
    </w:p>
    <w:p w14:paraId="2A2147A5" w14:textId="40AF999B" w:rsidR="003175E5" w:rsidRDefault="003B57E9" w:rsidP="003175E5">
      <w:pPr>
        <w:tabs>
          <w:tab w:val="left" w:pos="3300"/>
        </w:tabs>
        <w:jc w:val="center"/>
        <w:rPr>
          <w:rFonts w:ascii="Times New Roman" w:hAnsi="Times New Roman" w:cs="Times New Roman"/>
          <w:noProof/>
          <w:sz w:val="24"/>
        </w:rPr>
      </w:pPr>
      <w:r>
        <w:rPr>
          <w:rFonts w:ascii="Times New Roman" w:hAnsi="Times New Roman" w:cs="Times New Roman"/>
          <w:noProof/>
          <w:sz w:val="24"/>
        </w:rPr>
        <w:t xml:space="preserve">       </w:t>
      </w:r>
    </w:p>
    <w:p w14:paraId="09B1FEAA" w14:textId="6672CE8E" w:rsidR="0005555E" w:rsidRDefault="003175E5" w:rsidP="003175E5">
      <w:pPr>
        <w:tabs>
          <w:tab w:val="left" w:pos="3300"/>
        </w:tabs>
        <w:jc w:val="center"/>
        <w:rPr>
          <w:rFonts w:ascii="Times New Roman" w:hAnsi="Times New Roman" w:cs="Times New Roman"/>
          <w:noProof/>
          <w:sz w:val="24"/>
        </w:rPr>
      </w:pPr>
      <w:r>
        <w:rPr>
          <w:noProof/>
        </w:rPr>
        <w:drawing>
          <wp:inline distT="0" distB="0" distL="0" distR="0" wp14:anchorId="32D382B4" wp14:editId="2D7A854A">
            <wp:extent cx="5193030" cy="1298518"/>
            <wp:effectExtent l="0" t="0" r="0" b="0"/>
            <wp:docPr id="645709239" name="Pictur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20189" cy="1305309"/>
                    </a:xfrm>
                    <a:prstGeom prst="rect">
                      <a:avLst/>
                    </a:prstGeom>
                    <a:noFill/>
                    <a:ln>
                      <a:noFill/>
                    </a:ln>
                  </pic:spPr>
                </pic:pic>
              </a:graphicData>
            </a:graphic>
          </wp:inline>
        </w:drawing>
      </w:r>
      <w:r w:rsidR="003B57E9">
        <w:rPr>
          <w:rFonts w:ascii="Times New Roman" w:hAnsi="Times New Roman" w:cs="Times New Roman"/>
          <w:noProof/>
          <w:sz w:val="24"/>
        </w:rPr>
        <w:t xml:space="preserve"> </w:t>
      </w:r>
      <w:r w:rsidR="005422F9">
        <w:rPr>
          <w:rFonts w:ascii="Times New Roman" w:hAnsi="Times New Roman" w:cs="Times New Roman"/>
          <w:noProof/>
          <w:sz w:val="24"/>
        </w:rPr>
        <w:t xml:space="preserve">  </w:t>
      </w:r>
    </w:p>
    <w:p w14:paraId="6BD97FCF" w14:textId="77777777" w:rsidR="003175E5" w:rsidRDefault="003175E5" w:rsidP="003175E5">
      <w:pPr>
        <w:tabs>
          <w:tab w:val="left" w:pos="3300"/>
        </w:tabs>
        <w:jc w:val="center"/>
        <w:rPr>
          <w:rFonts w:ascii="Times New Roman" w:hAnsi="Times New Roman" w:cs="Times New Roman"/>
          <w:noProof/>
          <w:sz w:val="24"/>
        </w:rPr>
      </w:pPr>
    </w:p>
    <w:p w14:paraId="3E7904D3" w14:textId="77777777" w:rsidR="003175E5" w:rsidRDefault="003175E5" w:rsidP="003175E5">
      <w:pPr>
        <w:tabs>
          <w:tab w:val="left" w:pos="3300"/>
        </w:tabs>
        <w:jc w:val="center"/>
        <w:rPr>
          <w:rFonts w:ascii="Times New Roman" w:hAnsi="Times New Roman" w:cs="Times New Roman"/>
          <w:noProof/>
          <w:sz w:val="24"/>
        </w:rPr>
      </w:pPr>
    </w:p>
    <w:p w14:paraId="75DE6621" w14:textId="15FB600C" w:rsidR="003175E5" w:rsidRDefault="00871621" w:rsidP="003175E5">
      <w:pPr>
        <w:tabs>
          <w:tab w:val="left" w:pos="3300"/>
        </w:tabs>
        <w:jc w:val="center"/>
        <w:rPr>
          <w:rFonts w:ascii="Times New Roman" w:hAnsi="Times New Roman" w:cs="Times New Roman"/>
          <w:sz w:val="24"/>
        </w:rPr>
      </w:pPr>
      <w:r>
        <w:rPr>
          <w:noProof/>
        </w:rPr>
        <w:drawing>
          <wp:inline distT="0" distB="0" distL="0" distR="0" wp14:anchorId="28564B76" wp14:editId="76075152">
            <wp:extent cx="4410165" cy="1809750"/>
            <wp:effectExtent l="0" t="0" r="0" b="0"/>
            <wp:docPr id="1840158134" name="Picture 14" descr="Image: Department of Justice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Department of Justice mar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8781" cy="1813286"/>
                    </a:xfrm>
                    <a:prstGeom prst="rect">
                      <a:avLst/>
                    </a:prstGeom>
                    <a:noFill/>
                    <a:ln>
                      <a:noFill/>
                    </a:ln>
                  </pic:spPr>
                </pic:pic>
              </a:graphicData>
            </a:graphic>
          </wp:inline>
        </w:drawing>
      </w:r>
    </w:p>
    <w:p w14:paraId="52BB638A" w14:textId="2215D73F" w:rsidR="009D51F1" w:rsidRPr="00BA3812" w:rsidRDefault="00C23884" w:rsidP="003175E5">
      <w:pPr>
        <w:tabs>
          <w:tab w:val="left" w:pos="3300"/>
        </w:tabs>
        <w:jc w:val="center"/>
        <w:rPr>
          <w:rFonts w:ascii="Times New Roman" w:hAnsi="Times New Roman" w:cs="Times New Roman"/>
          <w:sz w:val="24"/>
        </w:rPr>
      </w:pPr>
      <w:r>
        <w:rPr>
          <w:noProof/>
        </w:rPr>
        <w:lastRenderedPageBreak/>
        <w:drawing>
          <wp:inline distT="0" distB="0" distL="0" distR="0" wp14:anchorId="4D530E64" wp14:editId="25CA2C2D">
            <wp:extent cx="4223031" cy="2714625"/>
            <wp:effectExtent l="0" t="0" r="6350" b="0"/>
            <wp:docPr id="1913968036"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55059" cy="2735213"/>
                    </a:xfrm>
                    <a:prstGeom prst="rect">
                      <a:avLst/>
                    </a:prstGeom>
                    <a:noFill/>
                    <a:ln>
                      <a:noFill/>
                    </a:ln>
                  </pic:spPr>
                </pic:pic>
              </a:graphicData>
            </a:graphic>
          </wp:inline>
        </w:drawing>
      </w:r>
    </w:p>
    <w:sectPr w:rsidR="009D51F1" w:rsidRPr="00BA3812" w:rsidSect="00F471B8">
      <w:headerReference w:type="first" r:id="rId16"/>
      <w:footerReference w:type="first" r:id="rId17"/>
      <w:pgSz w:w="11906" w:h="16838"/>
      <w:pgMar w:top="1440" w:right="964" w:bottom="1440" w:left="96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04936" w14:textId="77777777" w:rsidR="00F46722" w:rsidRDefault="00F46722" w:rsidP="00FC7E73">
      <w:pPr>
        <w:spacing w:after="0" w:line="240" w:lineRule="auto"/>
      </w:pPr>
      <w:r>
        <w:separator/>
      </w:r>
    </w:p>
  </w:endnote>
  <w:endnote w:type="continuationSeparator" w:id="0">
    <w:p w14:paraId="50DFEF87" w14:textId="77777777" w:rsidR="00F46722" w:rsidRDefault="00F46722" w:rsidP="00FC7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410"/>
      <w:gridCol w:w="3684"/>
    </w:tblGrid>
    <w:tr w:rsidR="00F471B8" w:rsidRPr="00111D37" w14:paraId="34D5BA40" w14:textId="77777777" w:rsidTr="00BA3812">
      <w:trPr>
        <w:trHeight w:val="170"/>
      </w:trPr>
      <w:tc>
        <w:tcPr>
          <w:tcW w:w="4111" w:type="dxa"/>
          <w:tcBorders>
            <w:bottom w:val="single" w:sz="12" w:space="0" w:color="038B91" w:themeColor="accent5"/>
          </w:tcBorders>
          <w:vAlign w:val="bottom"/>
        </w:tcPr>
        <w:p w14:paraId="3FD0871E" w14:textId="77777777" w:rsidR="00F471B8" w:rsidRPr="00111D37" w:rsidRDefault="00F471B8" w:rsidP="00F471B8">
          <w:pPr>
            <w:rPr>
              <w:rFonts w:cs="Arial"/>
              <w:b/>
              <w:color w:val="444444"/>
              <w:sz w:val="15"/>
              <w:szCs w:val="15"/>
            </w:rPr>
          </w:pPr>
        </w:p>
      </w:tc>
      <w:tc>
        <w:tcPr>
          <w:tcW w:w="2410" w:type="dxa"/>
          <w:tcBorders>
            <w:bottom w:val="single" w:sz="12" w:space="0" w:color="038B91" w:themeColor="accent5"/>
          </w:tcBorders>
          <w:vAlign w:val="bottom"/>
        </w:tcPr>
        <w:p w14:paraId="3DDC5979" w14:textId="77777777" w:rsidR="00F471B8" w:rsidRPr="00111D37" w:rsidRDefault="00F471B8" w:rsidP="00F471B8">
          <w:pPr>
            <w:rPr>
              <w:rFonts w:cs="Arial"/>
              <w:color w:val="444444"/>
              <w:sz w:val="15"/>
              <w:szCs w:val="15"/>
            </w:rPr>
          </w:pPr>
        </w:p>
      </w:tc>
      <w:tc>
        <w:tcPr>
          <w:tcW w:w="3684" w:type="dxa"/>
          <w:tcBorders>
            <w:bottom w:val="single" w:sz="12" w:space="0" w:color="038B91" w:themeColor="accent5"/>
          </w:tcBorders>
          <w:vAlign w:val="bottom"/>
        </w:tcPr>
        <w:p w14:paraId="49614D0D" w14:textId="77777777" w:rsidR="00F471B8" w:rsidRPr="00111D37" w:rsidRDefault="00F471B8" w:rsidP="00F471B8">
          <w:pPr>
            <w:jc w:val="right"/>
            <w:rPr>
              <w:rFonts w:cs="Arial"/>
              <w:b/>
              <w:color w:val="444444"/>
              <w:sz w:val="15"/>
              <w:szCs w:val="15"/>
            </w:rPr>
          </w:pPr>
        </w:p>
      </w:tc>
    </w:tr>
    <w:tr w:rsidR="00F240D5" w:rsidRPr="00111D37" w14:paraId="36F97B5C" w14:textId="77777777" w:rsidTr="00BA3812">
      <w:trPr>
        <w:trHeight w:val="1134"/>
      </w:trPr>
      <w:tc>
        <w:tcPr>
          <w:tcW w:w="4111" w:type="dxa"/>
          <w:tcBorders>
            <w:top w:val="single" w:sz="12" w:space="0" w:color="038B91" w:themeColor="accent5"/>
          </w:tcBorders>
          <w:vAlign w:val="bottom"/>
        </w:tcPr>
        <w:p w14:paraId="4A500484" w14:textId="4715A098" w:rsidR="00B64130" w:rsidRPr="00111D37" w:rsidRDefault="00B64130" w:rsidP="00F471B8">
          <w:pPr>
            <w:rPr>
              <w:rFonts w:cs="Arial"/>
              <w:color w:val="444444"/>
              <w:sz w:val="15"/>
              <w:szCs w:val="15"/>
            </w:rPr>
          </w:pPr>
        </w:p>
      </w:tc>
      <w:tc>
        <w:tcPr>
          <w:tcW w:w="2410" w:type="dxa"/>
          <w:tcBorders>
            <w:top w:val="single" w:sz="12" w:space="0" w:color="038B91" w:themeColor="accent5"/>
          </w:tcBorders>
          <w:vAlign w:val="bottom"/>
        </w:tcPr>
        <w:p w14:paraId="112B37DA" w14:textId="2A23A7B9" w:rsidR="00B64130" w:rsidRPr="00111D37" w:rsidRDefault="00B64130" w:rsidP="00F471B8">
          <w:pPr>
            <w:rPr>
              <w:rFonts w:cs="Arial"/>
              <w:color w:val="444444"/>
              <w:sz w:val="15"/>
              <w:szCs w:val="15"/>
            </w:rPr>
          </w:pPr>
        </w:p>
      </w:tc>
      <w:tc>
        <w:tcPr>
          <w:tcW w:w="3684" w:type="dxa"/>
          <w:tcBorders>
            <w:top w:val="single" w:sz="12" w:space="0" w:color="038B91" w:themeColor="accent5"/>
          </w:tcBorders>
          <w:vAlign w:val="bottom"/>
        </w:tcPr>
        <w:p w14:paraId="483BBE1F" w14:textId="090213EA" w:rsidR="00F240D5" w:rsidRPr="00111D37" w:rsidRDefault="00F240D5" w:rsidP="00F471B8">
          <w:pPr>
            <w:jc w:val="right"/>
            <w:rPr>
              <w:rFonts w:cs="Arial"/>
              <w:color w:val="444444"/>
              <w:sz w:val="15"/>
              <w:szCs w:val="15"/>
            </w:rPr>
          </w:pPr>
        </w:p>
      </w:tc>
    </w:tr>
    <w:tr w:rsidR="00F240D5" w:rsidRPr="006F4D10" w14:paraId="75854E88" w14:textId="77777777" w:rsidTr="00F471B8">
      <w:trPr>
        <w:trHeight w:val="397"/>
      </w:trPr>
      <w:tc>
        <w:tcPr>
          <w:tcW w:w="10205" w:type="dxa"/>
          <w:gridSpan w:val="3"/>
        </w:tcPr>
        <w:p w14:paraId="244E93B5" w14:textId="4DB88595" w:rsidR="00B64130" w:rsidRPr="006F4D10" w:rsidRDefault="00B64130" w:rsidP="00F471B8">
          <w:pPr>
            <w:jc w:val="center"/>
            <w:rPr>
              <w:rFonts w:cs="Arial"/>
              <w:color w:val="444444"/>
              <w:sz w:val="15"/>
              <w:szCs w:val="15"/>
              <w:lang w:val="nl-NL"/>
            </w:rPr>
          </w:pPr>
        </w:p>
      </w:tc>
    </w:tr>
  </w:tbl>
  <w:p w14:paraId="0CE98CC7" w14:textId="683E3992" w:rsidR="00FC7E73" w:rsidRPr="006F4D10" w:rsidRDefault="00FC7E73" w:rsidP="00FC7E73">
    <w:pPr>
      <w:pStyle w:val="Footer"/>
      <w:ind w:left="-1080"/>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BD161" w14:textId="77777777" w:rsidR="00F46722" w:rsidRDefault="00F46722" w:rsidP="00FC7E73">
      <w:pPr>
        <w:spacing w:after="0" w:line="240" w:lineRule="auto"/>
      </w:pPr>
      <w:bookmarkStart w:id="0" w:name="_Hlk56603259"/>
      <w:bookmarkEnd w:id="0"/>
      <w:r>
        <w:separator/>
      </w:r>
    </w:p>
  </w:footnote>
  <w:footnote w:type="continuationSeparator" w:id="0">
    <w:p w14:paraId="5E89E419" w14:textId="77777777" w:rsidR="00F46722" w:rsidRDefault="00F46722" w:rsidP="00FC7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EDF03" w14:textId="368C42BB" w:rsidR="00731F42" w:rsidRDefault="00A40085" w:rsidP="00F46321">
    <w:pPr>
      <w:pStyle w:val="Header"/>
      <w:jc w:val="center"/>
    </w:pPr>
    <w:r w:rsidRPr="00A40085">
      <w:rPr>
        <w:noProof/>
      </w:rPr>
      <w:drawing>
        <wp:inline distT="0" distB="0" distL="0" distR="0" wp14:anchorId="688D8D12" wp14:editId="71D0543D">
          <wp:extent cx="1325082" cy="1046335"/>
          <wp:effectExtent l="0" t="0" r="8890" b="1905"/>
          <wp:docPr id="28269487" name="Picture 2" descr="A logo with hands and a puzz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9487" name="Picture 2" descr="A logo with hands and a puzzl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335" cy="1054431"/>
                  </a:xfrm>
                  <a:prstGeom prst="rect">
                    <a:avLst/>
                  </a:prstGeom>
                  <a:noFill/>
                  <a:ln>
                    <a:noFill/>
                  </a:ln>
                </pic:spPr>
              </pic:pic>
            </a:graphicData>
          </a:graphic>
        </wp:inline>
      </w:drawing>
    </w:r>
    <w:r w:rsidR="00F46321">
      <w:rPr>
        <w:rFonts w:ascii="Segoe UI" w:hAnsi="Segoe UI" w:cs="Segoe UI"/>
        <w:noProof/>
        <w:color w:val="1F497D"/>
        <w:sz w:val="27"/>
        <w:szCs w:val="27"/>
        <w:bdr w:val="none" w:sz="0" w:space="0" w:color="auto" w:frame="1"/>
      </w:rPr>
      <w:t xml:space="preserve">          </w:t>
    </w:r>
    <w:r w:rsidR="00731F42">
      <w:rPr>
        <w:rFonts w:ascii="Segoe UI" w:hAnsi="Segoe UI" w:cs="Segoe UI"/>
        <w:noProof/>
        <w:color w:val="1F497D"/>
        <w:sz w:val="27"/>
        <w:szCs w:val="27"/>
        <w:bdr w:val="none" w:sz="0" w:space="0" w:color="auto" w:frame="1"/>
      </w:rPr>
      <w:drawing>
        <wp:inline distT="0" distB="0" distL="0" distR="0" wp14:anchorId="28430CD7" wp14:editId="2F505897">
          <wp:extent cx="2009775" cy="695325"/>
          <wp:effectExtent l="0" t="0" r="9525" b="9525"/>
          <wp:docPr id="1721268460" name="Picture 4"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268460" name="Picture 4" descr="A red rectangular sign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775" cy="695325"/>
                  </a:xfrm>
                  <a:prstGeom prst="rect">
                    <a:avLst/>
                  </a:prstGeom>
                  <a:noFill/>
                  <a:ln>
                    <a:noFill/>
                  </a:ln>
                </pic:spPr>
              </pic:pic>
            </a:graphicData>
          </a:graphic>
        </wp:inline>
      </w:drawing>
    </w:r>
  </w:p>
  <w:p w14:paraId="1969D6C4" w14:textId="70EA3303" w:rsidR="00A40085" w:rsidRPr="00A40085" w:rsidRDefault="00731F42" w:rsidP="00A40085">
    <w:pPr>
      <w:pStyle w:val="Header"/>
      <w:rPr>
        <w:i/>
        <w:iCs/>
        <w:sz w:val="16"/>
        <w:szCs w:val="16"/>
      </w:rPr>
    </w:pPr>
    <w:r>
      <w:t xml:space="preserve">                                             </w:t>
    </w:r>
    <w:r w:rsidR="00F46321">
      <w:t xml:space="preserve">                                                </w:t>
    </w:r>
    <w:r w:rsidRPr="00F46321">
      <w:rPr>
        <w:i/>
        <w:iCs/>
        <w:sz w:val="16"/>
        <w:szCs w:val="16"/>
      </w:rPr>
      <w:t>Finglas Youth Service – The Den</w:t>
    </w:r>
    <w:r w:rsidR="00A40085" w:rsidRPr="00F46321">
      <w:rPr>
        <w:i/>
        <w:iCs/>
        <w:sz w:val="16"/>
        <w:szCs w:val="16"/>
      </w:rPr>
      <w:t xml:space="preserve">        </w:t>
    </w:r>
  </w:p>
  <w:p w14:paraId="503B2F4D" w14:textId="364903AB" w:rsidR="007739C5" w:rsidRDefault="007739C5">
    <w:pPr>
      <w:pStyle w:val="Header"/>
    </w:pPr>
  </w:p>
  <w:p w14:paraId="5EF7F555" w14:textId="1FAF45BA" w:rsidR="00FC7E73" w:rsidRDefault="00FC7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94B11"/>
    <w:multiLevelType w:val="hybridMultilevel"/>
    <w:tmpl w:val="19B48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31D2A7D"/>
    <w:multiLevelType w:val="hybridMultilevel"/>
    <w:tmpl w:val="75C8F7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B072F6D"/>
    <w:multiLevelType w:val="hybridMultilevel"/>
    <w:tmpl w:val="2FE0214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43166908"/>
    <w:multiLevelType w:val="hybridMultilevel"/>
    <w:tmpl w:val="49A83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9CF4685"/>
    <w:multiLevelType w:val="hybridMultilevel"/>
    <w:tmpl w:val="2D2C4F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A502E90"/>
    <w:multiLevelType w:val="hybridMultilevel"/>
    <w:tmpl w:val="B1441D8A"/>
    <w:lvl w:ilvl="0" w:tplc="1310C668">
      <w:start w:val="1"/>
      <w:numFmt w:val="decimal"/>
      <w:lvlText w:val="(%1)"/>
      <w:lvlJc w:val="left"/>
      <w:pPr>
        <w:tabs>
          <w:tab w:val="num" w:pos="720"/>
        </w:tabs>
        <w:ind w:left="720" w:hanging="360"/>
      </w:pPr>
    </w:lvl>
    <w:lvl w:ilvl="1" w:tplc="0A8260CC">
      <w:start w:val="1"/>
      <w:numFmt w:val="decimal"/>
      <w:lvlText w:val="(%2)"/>
      <w:lvlJc w:val="left"/>
      <w:pPr>
        <w:tabs>
          <w:tab w:val="num" w:pos="1440"/>
        </w:tabs>
        <w:ind w:left="1440" w:hanging="360"/>
      </w:pPr>
    </w:lvl>
    <w:lvl w:ilvl="2" w:tplc="EE42FD18">
      <w:start w:val="1"/>
      <w:numFmt w:val="decimal"/>
      <w:lvlText w:val="(%3)"/>
      <w:lvlJc w:val="left"/>
      <w:pPr>
        <w:tabs>
          <w:tab w:val="num" w:pos="2160"/>
        </w:tabs>
        <w:ind w:left="2160" w:hanging="360"/>
      </w:pPr>
    </w:lvl>
    <w:lvl w:ilvl="3" w:tplc="2BC6919A">
      <w:start w:val="1"/>
      <w:numFmt w:val="decimal"/>
      <w:lvlText w:val="(%4)"/>
      <w:lvlJc w:val="left"/>
      <w:pPr>
        <w:tabs>
          <w:tab w:val="num" w:pos="2880"/>
        </w:tabs>
        <w:ind w:left="2880" w:hanging="360"/>
      </w:pPr>
    </w:lvl>
    <w:lvl w:ilvl="4" w:tplc="584E4526">
      <w:start w:val="1"/>
      <w:numFmt w:val="decimal"/>
      <w:lvlText w:val="(%5)"/>
      <w:lvlJc w:val="left"/>
      <w:pPr>
        <w:tabs>
          <w:tab w:val="num" w:pos="3600"/>
        </w:tabs>
        <w:ind w:left="3600" w:hanging="360"/>
      </w:pPr>
    </w:lvl>
    <w:lvl w:ilvl="5" w:tplc="3354AAEE">
      <w:start w:val="1"/>
      <w:numFmt w:val="decimal"/>
      <w:lvlText w:val="(%6)"/>
      <w:lvlJc w:val="left"/>
      <w:pPr>
        <w:tabs>
          <w:tab w:val="num" w:pos="4320"/>
        </w:tabs>
        <w:ind w:left="4320" w:hanging="360"/>
      </w:pPr>
    </w:lvl>
    <w:lvl w:ilvl="6" w:tplc="DE727AFE">
      <w:start w:val="1"/>
      <w:numFmt w:val="decimal"/>
      <w:lvlText w:val="(%7)"/>
      <w:lvlJc w:val="left"/>
      <w:pPr>
        <w:tabs>
          <w:tab w:val="num" w:pos="5040"/>
        </w:tabs>
        <w:ind w:left="5040" w:hanging="360"/>
      </w:pPr>
    </w:lvl>
    <w:lvl w:ilvl="7" w:tplc="C98EDC3A">
      <w:start w:val="1"/>
      <w:numFmt w:val="decimal"/>
      <w:lvlText w:val="(%8)"/>
      <w:lvlJc w:val="left"/>
      <w:pPr>
        <w:tabs>
          <w:tab w:val="num" w:pos="5760"/>
        </w:tabs>
        <w:ind w:left="5760" w:hanging="360"/>
      </w:pPr>
    </w:lvl>
    <w:lvl w:ilvl="8" w:tplc="1CAC4B44">
      <w:start w:val="1"/>
      <w:numFmt w:val="decimal"/>
      <w:lvlText w:val="(%9)"/>
      <w:lvlJc w:val="left"/>
      <w:pPr>
        <w:tabs>
          <w:tab w:val="num" w:pos="6480"/>
        </w:tabs>
        <w:ind w:left="6480" w:hanging="360"/>
      </w:pPr>
    </w:lvl>
  </w:abstractNum>
  <w:abstractNum w:abstractNumId="6" w15:restartNumberingAfterBreak="0">
    <w:nsid w:val="4D7C5EE9"/>
    <w:multiLevelType w:val="hybridMultilevel"/>
    <w:tmpl w:val="983E26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081106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355558">
    <w:abstractNumId w:val="0"/>
  </w:num>
  <w:num w:numId="3" w16cid:durableId="1357540959">
    <w:abstractNumId w:val="4"/>
  </w:num>
  <w:num w:numId="4" w16cid:durableId="1740325693">
    <w:abstractNumId w:val="1"/>
  </w:num>
  <w:num w:numId="5" w16cid:durableId="1136679636">
    <w:abstractNumId w:val="6"/>
  </w:num>
  <w:num w:numId="6" w16cid:durableId="1179153519">
    <w:abstractNumId w:val="3"/>
  </w:num>
  <w:num w:numId="7" w16cid:durableId="700782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E73"/>
    <w:rsid w:val="000051F5"/>
    <w:rsid w:val="00020661"/>
    <w:rsid w:val="00053EF1"/>
    <w:rsid w:val="0005555E"/>
    <w:rsid w:val="000624AE"/>
    <w:rsid w:val="000978BA"/>
    <w:rsid w:val="000B6BF0"/>
    <w:rsid w:val="000C3ABC"/>
    <w:rsid w:val="000C5C64"/>
    <w:rsid w:val="00111D37"/>
    <w:rsid w:val="00113B41"/>
    <w:rsid w:val="00120985"/>
    <w:rsid w:val="00131023"/>
    <w:rsid w:val="00134EB9"/>
    <w:rsid w:val="00154DCD"/>
    <w:rsid w:val="001D3857"/>
    <w:rsid w:val="001E1326"/>
    <w:rsid w:val="0021392C"/>
    <w:rsid w:val="00263AFE"/>
    <w:rsid w:val="00293C89"/>
    <w:rsid w:val="0029770C"/>
    <w:rsid w:val="002C09E4"/>
    <w:rsid w:val="002F476D"/>
    <w:rsid w:val="00313ECA"/>
    <w:rsid w:val="003175E5"/>
    <w:rsid w:val="0033309F"/>
    <w:rsid w:val="00360596"/>
    <w:rsid w:val="00364188"/>
    <w:rsid w:val="003B57E9"/>
    <w:rsid w:val="003D4F14"/>
    <w:rsid w:val="0040517E"/>
    <w:rsid w:val="00437B6C"/>
    <w:rsid w:val="00444124"/>
    <w:rsid w:val="004568FE"/>
    <w:rsid w:val="0049681F"/>
    <w:rsid w:val="004B2312"/>
    <w:rsid w:val="004B7DF4"/>
    <w:rsid w:val="004C5330"/>
    <w:rsid w:val="004F7523"/>
    <w:rsid w:val="00534DDC"/>
    <w:rsid w:val="005422F9"/>
    <w:rsid w:val="00550340"/>
    <w:rsid w:val="005B7AE9"/>
    <w:rsid w:val="00603F8E"/>
    <w:rsid w:val="00620262"/>
    <w:rsid w:val="00622227"/>
    <w:rsid w:val="00631D3E"/>
    <w:rsid w:val="00645950"/>
    <w:rsid w:val="00646AE4"/>
    <w:rsid w:val="0064714C"/>
    <w:rsid w:val="00680F12"/>
    <w:rsid w:val="00680F32"/>
    <w:rsid w:val="006A0D4B"/>
    <w:rsid w:val="006D46ED"/>
    <w:rsid w:val="006E0BD7"/>
    <w:rsid w:val="006F089B"/>
    <w:rsid w:val="006F4D10"/>
    <w:rsid w:val="00731F42"/>
    <w:rsid w:val="007739C5"/>
    <w:rsid w:val="00774A60"/>
    <w:rsid w:val="00790A7A"/>
    <w:rsid w:val="0079433B"/>
    <w:rsid w:val="007B6276"/>
    <w:rsid w:val="007C5DA3"/>
    <w:rsid w:val="007F27F5"/>
    <w:rsid w:val="00815508"/>
    <w:rsid w:val="0082265C"/>
    <w:rsid w:val="00843399"/>
    <w:rsid w:val="00853794"/>
    <w:rsid w:val="00871621"/>
    <w:rsid w:val="008C24FD"/>
    <w:rsid w:val="008D1279"/>
    <w:rsid w:val="00920964"/>
    <w:rsid w:val="00952AF5"/>
    <w:rsid w:val="00961359"/>
    <w:rsid w:val="009711C0"/>
    <w:rsid w:val="00984FE1"/>
    <w:rsid w:val="009B2296"/>
    <w:rsid w:val="009D51F1"/>
    <w:rsid w:val="009E132D"/>
    <w:rsid w:val="009E16D7"/>
    <w:rsid w:val="009F4632"/>
    <w:rsid w:val="00A01476"/>
    <w:rsid w:val="00A06D80"/>
    <w:rsid w:val="00A130D3"/>
    <w:rsid w:val="00A235D4"/>
    <w:rsid w:val="00A32B35"/>
    <w:rsid w:val="00A37867"/>
    <w:rsid w:val="00A40085"/>
    <w:rsid w:val="00A617DD"/>
    <w:rsid w:val="00A82C16"/>
    <w:rsid w:val="00AD1FA8"/>
    <w:rsid w:val="00AF4291"/>
    <w:rsid w:val="00B64130"/>
    <w:rsid w:val="00B76C61"/>
    <w:rsid w:val="00B94E28"/>
    <w:rsid w:val="00BA3812"/>
    <w:rsid w:val="00BF5296"/>
    <w:rsid w:val="00C23884"/>
    <w:rsid w:val="00C51722"/>
    <w:rsid w:val="00C67534"/>
    <w:rsid w:val="00C73E7B"/>
    <w:rsid w:val="00C94AA9"/>
    <w:rsid w:val="00CB33CF"/>
    <w:rsid w:val="00CC770F"/>
    <w:rsid w:val="00D44F0E"/>
    <w:rsid w:val="00D62D7C"/>
    <w:rsid w:val="00DB2544"/>
    <w:rsid w:val="00E13031"/>
    <w:rsid w:val="00E348C7"/>
    <w:rsid w:val="00E423DB"/>
    <w:rsid w:val="00E42FF6"/>
    <w:rsid w:val="00E466FB"/>
    <w:rsid w:val="00E7369B"/>
    <w:rsid w:val="00E754E7"/>
    <w:rsid w:val="00E8517F"/>
    <w:rsid w:val="00EB4CE9"/>
    <w:rsid w:val="00ED30C4"/>
    <w:rsid w:val="00EF0209"/>
    <w:rsid w:val="00EF13DC"/>
    <w:rsid w:val="00F240D5"/>
    <w:rsid w:val="00F46321"/>
    <w:rsid w:val="00F46722"/>
    <w:rsid w:val="00F471B8"/>
    <w:rsid w:val="00F533E0"/>
    <w:rsid w:val="00F714FF"/>
    <w:rsid w:val="00F92401"/>
    <w:rsid w:val="00FC7E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08265"/>
  <w15:chartTrackingRefBased/>
  <w15:docId w15:val="{A353337A-8AFF-4FD1-A1C7-9D782B6B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399"/>
    <w:rPr>
      <w:rFonts w:ascii="Helvetica" w:hAnsi="Helvetica"/>
      <w:sz w:val="20"/>
    </w:rPr>
  </w:style>
  <w:style w:type="paragraph" w:styleId="Heading1">
    <w:name w:val="heading 1"/>
    <w:basedOn w:val="Normal"/>
    <w:next w:val="Normal"/>
    <w:link w:val="Heading1Char"/>
    <w:uiPriority w:val="9"/>
    <w:qFormat/>
    <w:rsid w:val="00843399"/>
    <w:pPr>
      <w:keepNext/>
      <w:keepLines/>
      <w:spacing w:before="240" w:after="0"/>
      <w:outlineLvl w:val="0"/>
    </w:pPr>
    <w:rPr>
      <w:rFonts w:eastAsiaTheme="majorEastAsia" w:cstheme="majorBidi"/>
      <w:color w:val="114C44" w:themeColor="accent1" w:themeShade="BF"/>
      <w:sz w:val="32"/>
      <w:szCs w:val="32"/>
    </w:rPr>
  </w:style>
  <w:style w:type="paragraph" w:styleId="Heading2">
    <w:name w:val="heading 2"/>
    <w:basedOn w:val="Normal"/>
    <w:next w:val="Normal"/>
    <w:link w:val="Heading2Char"/>
    <w:uiPriority w:val="9"/>
    <w:unhideWhenUsed/>
    <w:qFormat/>
    <w:rsid w:val="00843399"/>
    <w:pPr>
      <w:keepNext/>
      <w:keepLines/>
      <w:spacing w:before="40" w:after="0"/>
      <w:outlineLvl w:val="1"/>
    </w:pPr>
    <w:rPr>
      <w:rFonts w:eastAsiaTheme="majorEastAsia" w:cstheme="majorBidi"/>
      <w:color w:val="114C44" w:themeColor="accent1" w:themeShade="BF"/>
      <w:sz w:val="26"/>
      <w:szCs w:val="26"/>
    </w:rPr>
  </w:style>
  <w:style w:type="paragraph" w:styleId="Heading3">
    <w:name w:val="heading 3"/>
    <w:basedOn w:val="Normal"/>
    <w:next w:val="Normal"/>
    <w:link w:val="Heading3Char"/>
    <w:uiPriority w:val="9"/>
    <w:unhideWhenUsed/>
    <w:qFormat/>
    <w:rsid w:val="009E16D7"/>
    <w:pPr>
      <w:keepNext/>
      <w:keepLines/>
      <w:spacing w:before="40" w:after="0"/>
      <w:outlineLvl w:val="2"/>
    </w:pPr>
    <w:rPr>
      <w:rFonts w:eastAsiaTheme="majorEastAsia" w:cstheme="majorBidi"/>
      <w:color w:val="0B322D" w:themeColor="accent1" w:themeShade="7F"/>
      <w:sz w:val="24"/>
      <w:szCs w:val="24"/>
    </w:rPr>
  </w:style>
  <w:style w:type="paragraph" w:styleId="Heading4">
    <w:name w:val="heading 4"/>
    <w:basedOn w:val="Normal"/>
    <w:next w:val="Normal"/>
    <w:link w:val="Heading4Char"/>
    <w:uiPriority w:val="9"/>
    <w:unhideWhenUsed/>
    <w:qFormat/>
    <w:rsid w:val="009E16D7"/>
    <w:pPr>
      <w:keepNext/>
      <w:keepLines/>
      <w:spacing w:before="40" w:after="0"/>
      <w:outlineLvl w:val="3"/>
    </w:pPr>
    <w:rPr>
      <w:rFonts w:eastAsiaTheme="majorEastAsia" w:cstheme="majorBidi"/>
      <w:i/>
      <w:iCs/>
      <w:color w:val="114C44" w:themeColor="accent1" w:themeShade="BF"/>
    </w:rPr>
  </w:style>
  <w:style w:type="paragraph" w:styleId="Heading5">
    <w:name w:val="heading 5"/>
    <w:basedOn w:val="Normal"/>
    <w:next w:val="Normal"/>
    <w:link w:val="Heading5Char"/>
    <w:uiPriority w:val="9"/>
    <w:unhideWhenUsed/>
    <w:qFormat/>
    <w:rsid w:val="009E16D7"/>
    <w:pPr>
      <w:keepNext/>
      <w:keepLines/>
      <w:spacing w:before="40" w:after="0"/>
      <w:outlineLvl w:val="4"/>
    </w:pPr>
    <w:rPr>
      <w:rFonts w:eastAsiaTheme="majorEastAsia" w:cstheme="majorBidi"/>
      <w:color w:val="114C44" w:themeColor="accent1" w:themeShade="BF"/>
    </w:rPr>
  </w:style>
  <w:style w:type="paragraph" w:styleId="Heading6">
    <w:name w:val="heading 6"/>
    <w:basedOn w:val="Normal"/>
    <w:next w:val="Normal"/>
    <w:link w:val="Heading6Char"/>
    <w:uiPriority w:val="9"/>
    <w:semiHidden/>
    <w:unhideWhenUsed/>
    <w:qFormat/>
    <w:rsid w:val="009E16D7"/>
    <w:pPr>
      <w:keepNext/>
      <w:keepLines/>
      <w:spacing w:before="40" w:after="0"/>
      <w:outlineLvl w:val="5"/>
    </w:pPr>
    <w:rPr>
      <w:rFonts w:eastAsiaTheme="majorEastAsia" w:cstheme="majorBidi"/>
      <w:color w:val="0B322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E73"/>
  </w:style>
  <w:style w:type="paragraph" w:styleId="Footer">
    <w:name w:val="footer"/>
    <w:basedOn w:val="Normal"/>
    <w:link w:val="FooterChar"/>
    <w:uiPriority w:val="99"/>
    <w:unhideWhenUsed/>
    <w:rsid w:val="00FC7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E73"/>
  </w:style>
  <w:style w:type="table" w:styleId="TableGrid">
    <w:name w:val="Table Grid"/>
    <w:basedOn w:val="TableNormal"/>
    <w:uiPriority w:val="39"/>
    <w:rsid w:val="00FC7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3399"/>
    <w:pPr>
      <w:spacing w:after="0" w:line="240" w:lineRule="auto"/>
    </w:pPr>
    <w:rPr>
      <w:rFonts w:ascii="Helvetica" w:hAnsi="Helvetica"/>
      <w:sz w:val="20"/>
    </w:rPr>
  </w:style>
  <w:style w:type="character" w:customStyle="1" w:styleId="Heading1Char">
    <w:name w:val="Heading 1 Char"/>
    <w:basedOn w:val="DefaultParagraphFont"/>
    <w:link w:val="Heading1"/>
    <w:uiPriority w:val="9"/>
    <w:rsid w:val="00843399"/>
    <w:rPr>
      <w:rFonts w:ascii="Helvetica" w:eastAsiaTheme="majorEastAsia" w:hAnsi="Helvetica" w:cstheme="majorBidi"/>
      <w:color w:val="114C44" w:themeColor="accent1" w:themeShade="BF"/>
      <w:sz w:val="32"/>
      <w:szCs w:val="32"/>
    </w:rPr>
  </w:style>
  <w:style w:type="character" w:customStyle="1" w:styleId="Heading2Char">
    <w:name w:val="Heading 2 Char"/>
    <w:basedOn w:val="DefaultParagraphFont"/>
    <w:link w:val="Heading2"/>
    <w:uiPriority w:val="9"/>
    <w:rsid w:val="00843399"/>
    <w:rPr>
      <w:rFonts w:ascii="Helvetica" w:eastAsiaTheme="majorEastAsia" w:hAnsi="Helvetica" w:cstheme="majorBidi"/>
      <w:color w:val="114C44" w:themeColor="accent1" w:themeShade="BF"/>
      <w:sz w:val="26"/>
      <w:szCs w:val="26"/>
    </w:rPr>
  </w:style>
  <w:style w:type="character" w:customStyle="1" w:styleId="Heading3Char">
    <w:name w:val="Heading 3 Char"/>
    <w:basedOn w:val="DefaultParagraphFont"/>
    <w:link w:val="Heading3"/>
    <w:uiPriority w:val="9"/>
    <w:rsid w:val="009E16D7"/>
    <w:rPr>
      <w:rFonts w:ascii="Helvetica" w:eastAsiaTheme="majorEastAsia" w:hAnsi="Helvetica" w:cstheme="majorBidi"/>
      <w:color w:val="0B322D" w:themeColor="accent1" w:themeShade="7F"/>
      <w:sz w:val="24"/>
      <w:szCs w:val="24"/>
    </w:rPr>
  </w:style>
  <w:style w:type="character" w:customStyle="1" w:styleId="Heading4Char">
    <w:name w:val="Heading 4 Char"/>
    <w:basedOn w:val="DefaultParagraphFont"/>
    <w:link w:val="Heading4"/>
    <w:uiPriority w:val="9"/>
    <w:rsid w:val="009E16D7"/>
    <w:rPr>
      <w:rFonts w:ascii="Helvetica" w:eastAsiaTheme="majorEastAsia" w:hAnsi="Helvetica" w:cstheme="majorBidi"/>
      <w:i/>
      <w:iCs/>
      <w:color w:val="114C44" w:themeColor="accent1" w:themeShade="BF"/>
      <w:sz w:val="20"/>
    </w:rPr>
  </w:style>
  <w:style w:type="character" w:styleId="IntenseEmphasis">
    <w:name w:val="Intense Emphasis"/>
    <w:basedOn w:val="DefaultParagraphFont"/>
    <w:uiPriority w:val="21"/>
    <w:qFormat/>
    <w:rsid w:val="009E16D7"/>
    <w:rPr>
      <w:i/>
      <w:iCs/>
      <w:color w:val="17665C" w:themeColor="accent1"/>
    </w:rPr>
  </w:style>
  <w:style w:type="character" w:customStyle="1" w:styleId="Heading5Char">
    <w:name w:val="Heading 5 Char"/>
    <w:basedOn w:val="DefaultParagraphFont"/>
    <w:link w:val="Heading5"/>
    <w:uiPriority w:val="9"/>
    <w:rsid w:val="009E16D7"/>
    <w:rPr>
      <w:rFonts w:ascii="Helvetica" w:eastAsiaTheme="majorEastAsia" w:hAnsi="Helvetica" w:cstheme="majorBidi"/>
      <w:color w:val="114C44" w:themeColor="accent1" w:themeShade="BF"/>
      <w:sz w:val="20"/>
    </w:rPr>
  </w:style>
  <w:style w:type="character" w:customStyle="1" w:styleId="Heading6Char">
    <w:name w:val="Heading 6 Char"/>
    <w:basedOn w:val="DefaultParagraphFont"/>
    <w:link w:val="Heading6"/>
    <w:uiPriority w:val="9"/>
    <w:semiHidden/>
    <w:rsid w:val="009E16D7"/>
    <w:rPr>
      <w:rFonts w:ascii="Helvetica" w:eastAsiaTheme="majorEastAsia" w:hAnsi="Helvetica" w:cstheme="majorBidi"/>
      <w:color w:val="0B322D" w:themeColor="accent1" w:themeShade="7F"/>
      <w:sz w:val="20"/>
    </w:rPr>
  </w:style>
  <w:style w:type="paragraph" w:styleId="Title">
    <w:name w:val="Title"/>
    <w:basedOn w:val="Normal"/>
    <w:next w:val="Normal"/>
    <w:link w:val="TitleChar"/>
    <w:uiPriority w:val="10"/>
    <w:qFormat/>
    <w:rsid w:val="009E16D7"/>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E16D7"/>
    <w:rPr>
      <w:rFonts w:ascii="Helvetica" w:eastAsiaTheme="majorEastAsia" w:hAnsi="Helvetica" w:cstheme="majorBidi"/>
      <w:spacing w:val="-10"/>
      <w:kern w:val="28"/>
      <w:sz w:val="56"/>
      <w:szCs w:val="56"/>
    </w:rPr>
  </w:style>
  <w:style w:type="character" w:styleId="Hyperlink">
    <w:name w:val="Hyperlink"/>
    <w:basedOn w:val="DefaultParagraphFont"/>
    <w:uiPriority w:val="99"/>
    <w:unhideWhenUsed/>
    <w:rsid w:val="00F240D5"/>
    <w:rPr>
      <w:color w:val="038B91" w:themeColor="hyperlink"/>
      <w:u w:val="single"/>
    </w:rPr>
  </w:style>
  <w:style w:type="character" w:customStyle="1" w:styleId="UnresolvedMention1">
    <w:name w:val="Unresolved Mention1"/>
    <w:basedOn w:val="DefaultParagraphFont"/>
    <w:uiPriority w:val="99"/>
    <w:semiHidden/>
    <w:unhideWhenUsed/>
    <w:rsid w:val="00F240D5"/>
    <w:rPr>
      <w:color w:val="605E5C"/>
      <w:shd w:val="clear" w:color="auto" w:fill="E1DFDD"/>
    </w:rPr>
  </w:style>
  <w:style w:type="paragraph" w:styleId="BalloonText">
    <w:name w:val="Balloon Text"/>
    <w:basedOn w:val="Normal"/>
    <w:link w:val="BalloonTextChar"/>
    <w:uiPriority w:val="99"/>
    <w:semiHidden/>
    <w:unhideWhenUsed/>
    <w:rsid w:val="008D1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279"/>
    <w:rPr>
      <w:rFonts w:ascii="Segoe UI" w:hAnsi="Segoe UI" w:cs="Segoe UI"/>
      <w:sz w:val="18"/>
      <w:szCs w:val="18"/>
    </w:rPr>
  </w:style>
  <w:style w:type="paragraph" w:styleId="ListParagraph">
    <w:name w:val="List Paragraph"/>
    <w:basedOn w:val="Normal"/>
    <w:uiPriority w:val="34"/>
    <w:qFormat/>
    <w:rsid w:val="0005555E"/>
    <w:pPr>
      <w:ind w:left="720"/>
      <w:contextualSpacing/>
    </w:pPr>
    <w:rPr>
      <w:rFonts w:asciiTheme="minorHAnsi" w:hAnsiTheme="minorHAnsi"/>
      <w:sz w:val="22"/>
    </w:rPr>
  </w:style>
  <w:style w:type="character" w:customStyle="1" w:styleId="UnresolvedMention2">
    <w:name w:val="Unresolved Mention2"/>
    <w:basedOn w:val="DefaultParagraphFont"/>
    <w:uiPriority w:val="99"/>
    <w:semiHidden/>
    <w:unhideWhenUsed/>
    <w:rsid w:val="0005555E"/>
    <w:rPr>
      <w:color w:val="605E5C"/>
      <w:shd w:val="clear" w:color="auto" w:fill="E1DFDD"/>
    </w:rPr>
  </w:style>
  <w:style w:type="character" w:styleId="UnresolvedMention">
    <w:name w:val="Unresolved Mention"/>
    <w:basedOn w:val="DefaultParagraphFont"/>
    <w:uiPriority w:val="99"/>
    <w:semiHidden/>
    <w:unhideWhenUsed/>
    <w:rsid w:val="00961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5984">
      <w:bodyDiv w:val="1"/>
      <w:marLeft w:val="0"/>
      <w:marRight w:val="0"/>
      <w:marTop w:val="0"/>
      <w:marBottom w:val="0"/>
      <w:divBdr>
        <w:top w:val="none" w:sz="0" w:space="0" w:color="auto"/>
        <w:left w:val="none" w:sz="0" w:space="0" w:color="auto"/>
        <w:bottom w:val="none" w:sz="0" w:space="0" w:color="auto"/>
        <w:right w:val="none" w:sz="0" w:space="0" w:color="auto"/>
      </w:divBdr>
    </w:div>
    <w:div w:id="611206769">
      <w:bodyDiv w:val="1"/>
      <w:marLeft w:val="0"/>
      <w:marRight w:val="0"/>
      <w:marTop w:val="0"/>
      <w:marBottom w:val="0"/>
      <w:divBdr>
        <w:top w:val="none" w:sz="0" w:space="0" w:color="auto"/>
        <w:left w:val="none" w:sz="0" w:space="0" w:color="auto"/>
        <w:bottom w:val="none" w:sz="0" w:space="0" w:color="auto"/>
        <w:right w:val="none" w:sz="0" w:space="0" w:color="auto"/>
      </w:divBdr>
    </w:div>
    <w:div w:id="1193303975">
      <w:bodyDiv w:val="1"/>
      <w:marLeft w:val="0"/>
      <w:marRight w:val="0"/>
      <w:marTop w:val="0"/>
      <w:marBottom w:val="0"/>
      <w:divBdr>
        <w:top w:val="none" w:sz="0" w:space="0" w:color="auto"/>
        <w:left w:val="none" w:sz="0" w:space="0" w:color="auto"/>
        <w:bottom w:val="none" w:sz="0" w:space="0" w:color="auto"/>
        <w:right w:val="none" w:sz="0" w:space="0" w:color="auto"/>
      </w:divBdr>
    </w:div>
    <w:div w:id="1305507860">
      <w:bodyDiv w:val="1"/>
      <w:marLeft w:val="0"/>
      <w:marRight w:val="0"/>
      <w:marTop w:val="0"/>
      <w:marBottom w:val="0"/>
      <w:divBdr>
        <w:top w:val="none" w:sz="0" w:space="0" w:color="auto"/>
        <w:left w:val="none" w:sz="0" w:space="0" w:color="auto"/>
        <w:bottom w:val="none" w:sz="0" w:space="0" w:color="auto"/>
        <w:right w:val="none" w:sz="0" w:space="0" w:color="auto"/>
      </w:divBdr>
    </w:div>
    <w:div w:id="1544705816">
      <w:bodyDiv w:val="1"/>
      <w:marLeft w:val="0"/>
      <w:marRight w:val="0"/>
      <w:marTop w:val="0"/>
      <w:marBottom w:val="0"/>
      <w:divBdr>
        <w:top w:val="none" w:sz="0" w:space="0" w:color="auto"/>
        <w:left w:val="none" w:sz="0" w:space="0" w:color="auto"/>
        <w:bottom w:val="none" w:sz="0" w:space="0" w:color="auto"/>
        <w:right w:val="none" w:sz="0" w:space="0" w:color="auto"/>
      </w:divBdr>
    </w:div>
    <w:div w:id="1907761353">
      <w:bodyDiv w:val="1"/>
      <w:marLeft w:val="0"/>
      <w:marRight w:val="0"/>
      <w:marTop w:val="0"/>
      <w:marBottom w:val="0"/>
      <w:divBdr>
        <w:top w:val="none" w:sz="0" w:space="0" w:color="auto"/>
        <w:left w:val="none" w:sz="0" w:space="0" w:color="auto"/>
        <w:bottom w:val="none" w:sz="0" w:space="0" w:color="auto"/>
        <w:right w:val="none" w:sz="0" w:space="0" w:color="auto"/>
      </w:divBdr>
    </w:div>
    <w:div w:id="204767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iaramurphy@crosscare.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chel.kelly@fyrc.ie"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hyperlink" Target="mailto:gmagee@crosscare.i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KWETB">
      <a:dk1>
        <a:sysClr val="windowText" lastClr="000000"/>
      </a:dk1>
      <a:lt1>
        <a:sysClr val="window" lastClr="FFFFFF"/>
      </a:lt1>
      <a:dk2>
        <a:srgbClr val="17665C"/>
      </a:dk2>
      <a:lt2>
        <a:srgbClr val="DFDFE3"/>
      </a:lt2>
      <a:accent1>
        <a:srgbClr val="17665C"/>
      </a:accent1>
      <a:accent2>
        <a:srgbClr val="17665C"/>
      </a:accent2>
      <a:accent3>
        <a:srgbClr val="B5D77A"/>
      </a:accent3>
      <a:accent4>
        <a:srgbClr val="17665C"/>
      </a:accent4>
      <a:accent5>
        <a:srgbClr val="038B91"/>
      </a:accent5>
      <a:accent6>
        <a:srgbClr val="444444"/>
      </a:accent6>
      <a:hlink>
        <a:srgbClr val="038B91"/>
      </a:hlink>
      <a:folHlink>
        <a:srgbClr val="038B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BF4E93512E0A4F929D2EECBFED6CF1" ma:contentTypeVersion="13" ma:contentTypeDescription="Create a new document." ma:contentTypeScope="" ma:versionID="6139695f39cb096f3fb7f8bf3c3990da">
  <xsd:schema xmlns:xsd="http://www.w3.org/2001/XMLSchema" xmlns:xs="http://www.w3.org/2001/XMLSchema" xmlns:p="http://schemas.microsoft.com/office/2006/metadata/properties" xmlns:ns2="17a6849d-4372-4069-a4ca-0508acded6fb" xmlns:ns3="d6ac22a6-ba44-4559-a5f9-e6a1902ed10c" targetNamespace="http://schemas.microsoft.com/office/2006/metadata/properties" ma:root="true" ma:fieldsID="3d1f1fdd91f9034ce427b0f29b3523f9" ns2:_="" ns3:_="">
    <xsd:import namespace="17a6849d-4372-4069-a4ca-0508acded6fb"/>
    <xsd:import namespace="d6ac22a6-ba44-4559-a5f9-e6a1902ed10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6849d-4372-4069-a4ca-0508acde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17771db-f472-4ed4-9b3f-d3455ab1d7a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c22a6-ba44-4559-a5f9-e6a1902ed10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7f5766-be76-43ed-a766-2a679f10bc72}" ma:internalName="TaxCatchAll" ma:showField="CatchAllData" ma:web="d6ac22a6-ba44-4559-a5f9-e6a1902ed10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a6849d-4372-4069-a4ca-0508acded6fb">
      <Terms xmlns="http://schemas.microsoft.com/office/infopath/2007/PartnerControls"/>
    </lcf76f155ced4ddcb4097134ff3c332f>
    <TaxCatchAll xmlns="d6ac22a6-ba44-4559-a5f9-e6a1902ed10c" xsi:nil="true"/>
  </documentManagement>
</p:properties>
</file>

<file path=customXml/itemProps1.xml><?xml version="1.0" encoding="utf-8"?>
<ds:datastoreItem xmlns:ds="http://schemas.openxmlformats.org/officeDocument/2006/customXml" ds:itemID="{264C82A6-E156-4F82-B32C-F87024D6514E}">
  <ds:schemaRefs>
    <ds:schemaRef ds:uri="http://schemas.microsoft.com/sharepoint/v3/contenttype/forms"/>
  </ds:schemaRefs>
</ds:datastoreItem>
</file>

<file path=customXml/itemProps2.xml><?xml version="1.0" encoding="utf-8"?>
<ds:datastoreItem xmlns:ds="http://schemas.openxmlformats.org/officeDocument/2006/customXml" ds:itemID="{BC7EB6C6-3212-4903-BAB8-EA894D533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6849d-4372-4069-a4ca-0508acded6fb"/>
    <ds:schemaRef ds:uri="d6ac22a6-ba44-4559-a5f9-e6a1902ed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2A7798-B0CA-4DFB-90A8-B7AF4A1A7E44}">
  <ds:schemaRefs>
    <ds:schemaRef ds:uri="http://schemas.microsoft.com/office/2006/metadata/properties"/>
    <ds:schemaRef ds:uri="http://schemas.microsoft.com/office/infopath/2007/PartnerControls"/>
    <ds:schemaRef ds:uri="17a6849d-4372-4069-a4ca-0508acded6fb"/>
    <ds:schemaRef ds:uri="d6ac22a6-ba44-4559-a5f9-e6a1902ed10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6771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Lennon</dc:creator>
  <cp:keywords/>
  <dc:description/>
  <cp:lastModifiedBy>Lisia Cashen</cp:lastModifiedBy>
  <cp:revision>2</cp:revision>
  <cp:lastPrinted>2021-02-02T15:08:00Z</cp:lastPrinted>
  <dcterms:created xsi:type="dcterms:W3CDTF">2025-04-22T09:43:00Z</dcterms:created>
  <dcterms:modified xsi:type="dcterms:W3CDTF">2025-04-22T09:43:00Z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0x01010062BF4E93512E0A4F929D2EECBFED6CF1</vt:lpwstr>
  </property>
</Properties>
</file>