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618F43" w14:textId="77777777" w:rsidR="004A6949" w:rsidRPr="006C104F" w:rsidRDefault="004A6949" w:rsidP="004A6949">
      <w:pPr>
        <w:pStyle w:val="BodyTextIndent"/>
        <w:rPr>
          <w:b/>
          <w:bCs/>
          <w:sz w:val="22"/>
          <w:szCs w:val="22"/>
        </w:rPr>
      </w:pPr>
      <w:r w:rsidRPr="006C104F">
        <w:rPr>
          <w:b/>
          <w:bCs/>
          <w:sz w:val="22"/>
          <w:szCs w:val="22"/>
        </w:rPr>
        <w:t xml:space="preserve"> </w:t>
      </w:r>
    </w:p>
    <w:p w14:paraId="21C1B9A9" w14:textId="77777777" w:rsidR="004A6949" w:rsidRPr="006C104F" w:rsidRDefault="00D06D0A" w:rsidP="00D06D0A">
      <w:pPr>
        <w:pStyle w:val="BodyTextIndent"/>
        <w:ind w:left="0" w:firstLine="0"/>
        <w:rPr>
          <w:b/>
          <w:bCs/>
          <w:sz w:val="22"/>
          <w:szCs w:val="22"/>
        </w:rPr>
      </w:pPr>
      <w:r w:rsidRPr="006C104F">
        <w:rPr>
          <w:noProof/>
          <w:sz w:val="22"/>
          <w:szCs w:val="22"/>
          <w:lang w:eastAsia="en-GB"/>
        </w:rPr>
        <w:drawing>
          <wp:inline distT="0" distB="0" distL="0" distR="0" wp14:anchorId="4A0C9779" wp14:editId="601BDF1D">
            <wp:extent cx="3028950" cy="1228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28950" cy="1228725"/>
                    </a:xfrm>
                    <a:prstGeom prst="rect">
                      <a:avLst/>
                    </a:prstGeom>
                    <a:noFill/>
                    <a:ln>
                      <a:noFill/>
                    </a:ln>
                  </pic:spPr>
                </pic:pic>
              </a:graphicData>
            </a:graphic>
          </wp:inline>
        </w:drawing>
      </w:r>
    </w:p>
    <w:p w14:paraId="1FFC4457" w14:textId="77777777" w:rsidR="004A6949" w:rsidRPr="006C104F" w:rsidRDefault="004A6949" w:rsidP="004A6949">
      <w:pPr>
        <w:pStyle w:val="BodyTextIndent"/>
        <w:ind w:left="0" w:firstLine="0"/>
        <w:jc w:val="left"/>
        <w:rPr>
          <w:b/>
          <w:bCs/>
          <w:sz w:val="22"/>
          <w:szCs w:val="22"/>
        </w:rPr>
      </w:pPr>
    </w:p>
    <w:p w14:paraId="2BD67D12" w14:textId="77777777" w:rsidR="004A6949" w:rsidRPr="006C104F" w:rsidRDefault="004A6949" w:rsidP="0052132A">
      <w:pPr>
        <w:pStyle w:val="BodyTextIndent"/>
        <w:ind w:left="0" w:firstLine="0"/>
        <w:jc w:val="left"/>
        <w:rPr>
          <w:b/>
          <w:bCs/>
          <w:sz w:val="22"/>
          <w:szCs w:val="22"/>
        </w:rPr>
      </w:pPr>
    </w:p>
    <w:p w14:paraId="5E88EF9B" w14:textId="77777777" w:rsidR="004A6949" w:rsidRPr="006C104F" w:rsidRDefault="004A6949" w:rsidP="004A6949">
      <w:pPr>
        <w:pStyle w:val="BodyTextIndent"/>
        <w:rPr>
          <w:b/>
          <w:bCs/>
          <w:sz w:val="22"/>
          <w:szCs w:val="22"/>
        </w:rPr>
      </w:pPr>
    </w:p>
    <w:p w14:paraId="465D05DE" w14:textId="77777777" w:rsidR="004A6949" w:rsidRPr="006C104F" w:rsidRDefault="004A6949" w:rsidP="004A6949">
      <w:pPr>
        <w:pStyle w:val="BodyTextIndent"/>
        <w:rPr>
          <w:b/>
          <w:bCs/>
          <w:sz w:val="22"/>
          <w:szCs w:val="22"/>
        </w:rPr>
      </w:pPr>
      <w:r w:rsidRPr="006C104F">
        <w:rPr>
          <w:b/>
          <w:bCs/>
          <w:sz w:val="22"/>
          <w:szCs w:val="22"/>
        </w:rPr>
        <w:t xml:space="preserve">Request for Quote </w:t>
      </w:r>
    </w:p>
    <w:p w14:paraId="79B6F973" w14:textId="77777777" w:rsidR="004A6949" w:rsidRPr="006C104F" w:rsidRDefault="004A6949" w:rsidP="004A6949">
      <w:pPr>
        <w:pStyle w:val="BodyTextIndent"/>
        <w:rPr>
          <w:b/>
          <w:bCs/>
          <w:sz w:val="22"/>
          <w:szCs w:val="22"/>
        </w:rPr>
      </w:pPr>
    </w:p>
    <w:p w14:paraId="7B8CAEE1" w14:textId="77777777" w:rsidR="004A6949" w:rsidRPr="006C104F" w:rsidRDefault="004A6949" w:rsidP="004A6949">
      <w:pPr>
        <w:pStyle w:val="BodyTextIndent"/>
        <w:rPr>
          <w:b/>
          <w:bCs/>
          <w:sz w:val="22"/>
          <w:szCs w:val="22"/>
        </w:rPr>
      </w:pPr>
    </w:p>
    <w:p w14:paraId="710812C6" w14:textId="1BE41CD3" w:rsidR="004F3B16" w:rsidRPr="006C104F" w:rsidRDefault="0052132A" w:rsidP="004A6949">
      <w:pPr>
        <w:pStyle w:val="BodyTextIndent"/>
        <w:spacing w:line="480" w:lineRule="auto"/>
        <w:rPr>
          <w:bCs/>
          <w:color w:val="auto"/>
          <w:sz w:val="22"/>
          <w:szCs w:val="22"/>
        </w:rPr>
      </w:pPr>
      <w:r w:rsidRPr="006C104F">
        <w:rPr>
          <w:bCs/>
          <w:color w:val="auto"/>
          <w:sz w:val="22"/>
          <w:szCs w:val="22"/>
        </w:rPr>
        <w:t xml:space="preserve">Appointment of </w:t>
      </w:r>
      <w:r w:rsidR="003A162C" w:rsidRPr="006C104F">
        <w:rPr>
          <w:bCs/>
          <w:color w:val="auto"/>
          <w:sz w:val="22"/>
          <w:szCs w:val="22"/>
        </w:rPr>
        <w:t>Provider of Services</w:t>
      </w:r>
    </w:p>
    <w:p w14:paraId="5F1DE28D" w14:textId="2CBBC12D" w:rsidR="004A6949" w:rsidRPr="006C104F" w:rsidRDefault="004A6949" w:rsidP="004A6949">
      <w:pPr>
        <w:pStyle w:val="BodyTextIndent"/>
        <w:spacing w:line="480" w:lineRule="auto"/>
        <w:rPr>
          <w:bCs/>
          <w:sz w:val="22"/>
          <w:szCs w:val="22"/>
        </w:rPr>
      </w:pPr>
    </w:p>
    <w:p w14:paraId="18891BF5" w14:textId="77777777" w:rsidR="004A6949" w:rsidRPr="006C104F" w:rsidRDefault="004A6949" w:rsidP="004A6949">
      <w:pPr>
        <w:pStyle w:val="BodyTextIndent"/>
        <w:spacing w:line="480" w:lineRule="auto"/>
        <w:rPr>
          <w:bCs/>
          <w:sz w:val="22"/>
          <w:szCs w:val="22"/>
        </w:rPr>
      </w:pPr>
      <w:r w:rsidRPr="006C104F">
        <w:rPr>
          <w:bCs/>
          <w:sz w:val="22"/>
          <w:szCs w:val="22"/>
        </w:rPr>
        <w:t xml:space="preserve">to  </w:t>
      </w:r>
    </w:p>
    <w:p w14:paraId="5F024C96" w14:textId="2D80E914" w:rsidR="004A6949" w:rsidRPr="006C104F" w:rsidRDefault="00AC05CF" w:rsidP="004A6949">
      <w:pPr>
        <w:pStyle w:val="BodyTextIndent"/>
        <w:spacing w:line="480" w:lineRule="auto"/>
        <w:rPr>
          <w:bCs/>
          <w:color w:val="FF0000"/>
          <w:sz w:val="22"/>
          <w:szCs w:val="22"/>
        </w:rPr>
      </w:pPr>
      <w:r>
        <w:rPr>
          <w:bCs/>
          <w:color w:val="FF0000"/>
          <w:sz w:val="22"/>
          <w:szCs w:val="22"/>
        </w:rPr>
        <w:t>E</w:t>
      </w:r>
      <w:r w:rsidR="00324DB9">
        <w:rPr>
          <w:bCs/>
          <w:color w:val="FF0000"/>
          <w:sz w:val="22"/>
          <w:szCs w:val="22"/>
        </w:rPr>
        <w:t xml:space="preserve">valuation of </w:t>
      </w:r>
      <w:r>
        <w:rPr>
          <w:bCs/>
          <w:color w:val="FF0000"/>
          <w:sz w:val="22"/>
          <w:szCs w:val="22"/>
        </w:rPr>
        <w:t xml:space="preserve">National Drugs </w:t>
      </w:r>
      <w:r w:rsidR="00415036">
        <w:rPr>
          <w:bCs/>
          <w:color w:val="FF0000"/>
          <w:sz w:val="22"/>
          <w:szCs w:val="22"/>
        </w:rPr>
        <w:t xml:space="preserve">Strategy, </w:t>
      </w:r>
      <w:r w:rsidR="00415036" w:rsidRPr="00324DB9">
        <w:rPr>
          <w:bCs/>
          <w:color w:val="FF0000"/>
          <w:sz w:val="22"/>
          <w:szCs w:val="22"/>
        </w:rPr>
        <w:t>‘Reducing</w:t>
      </w:r>
      <w:r w:rsidR="00324DB9" w:rsidRPr="00324DB9">
        <w:rPr>
          <w:bCs/>
          <w:color w:val="FF0000"/>
          <w:sz w:val="22"/>
          <w:szCs w:val="22"/>
        </w:rPr>
        <w:t xml:space="preserve"> Harm, Supporting Recovery 2017-2025</w:t>
      </w:r>
      <w:r w:rsidR="00745985">
        <w:rPr>
          <w:bCs/>
          <w:color w:val="FF0000"/>
          <w:sz w:val="22"/>
          <w:szCs w:val="22"/>
        </w:rPr>
        <w:t>’</w:t>
      </w:r>
    </w:p>
    <w:p w14:paraId="7640F460" w14:textId="77777777" w:rsidR="004A6949" w:rsidRPr="006C104F" w:rsidRDefault="004A6949" w:rsidP="004A6949">
      <w:pPr>
        <w:pStyle w:val="BodyTextIndent"/>
        <w:spacing w:line="480" w:lineRule="auto"/>
        <w:rPr>
          <w:bCs/>
          <w:sz w:val="22"/>
          <w:szCs w:val="22"/>
        </w:rPr>
      </w:pPr>
      <w:r w:rsidRPr="006C104F">
        <w:rPr>
          <w:bCs/>
          <w:sz w:val="22"/>
          <w:szCs w:val="22"/>
        </w:rPr>
        <w:t>for</w:t>
      </w:r>
    </w:p>
    <w:p w14:paraId="20DA0C47" w14:textId="2BDB01A3" w:rsidR="003A162C" w:rsidRPr="006C104F" w:rsidRDefault="003A162C" w:rsidP="004A6949">
      <w:pPr>
        <w:pStyle w:val="BodyTextIndent"/>
        <w:spacing w:line="480" w:lineRule="auto"/>
        <w:rPr>
          <w:bCs/>
          <w:sz w:val="22"/>
          <w:szCs w:val="22"/>
        </w:rPr>
      </w:pPr>
      <w:r w:rsidRPr="006C104F">
        <w:rPr>
          <w:bCs/>
          <w:sz w:val="22"/>
          <w:szCs w:val="22"/>
        </w:rPr>
        <w:t>the</w:t>
      </w:r>
    </w:p>
    <w:p w14:paraId="34EBF791" w14:textId="77777777" w:rsidR="004A6949" w:rsidRPr="006C104F" w:rsidRDefault="00D06D0A" w:rsidP="004A6949">
      <w:pPr>
        <w:pStyle w:val="BodyTextIndent"/>
        <w:spacing w:line="480" w:lineRule="auto"/>
        <w:rPr>
          <w:bCs/>
          <w:sz w:val="22"/>
          <w:szCs w:val="22"/>
        </w:rPr>
      </w:pPr>
      <w:r w:rsidRPr="006C104F">
        <w:rPr>
          <w:bCs/>
          <w:sz w:val="22"/>
          <w:szCs w:val="22"/>
        </w:rPr>
        <w:t>Department of Health</w:t>
      </w:r>
    </w:p>
    <w:p w14:paraId="5B8556B5" w14:textId="77777777" w:rsidR="004A6949" w:rsidRPr="006C104F" w:rsidRDefault="004A6949" w:rsidP="004A6949">
      <w:pPr>
        <w:pStyle w:val="BodyTextIndent"/>
        <w:rPr>
          <w:b/>
          <w:bCs/>
          <w:sz w:val="22"/>
          <w:szCs w:val="22"/>
        </w:rPr>
      </w:pPr>
    </w:p>
    <w:p w14:paraId="255C4036" w14:textId="77777777" w:rsidR="004A6949" w:rsidRPr="006C104F" w:rsidRDefault="004A6949" w:rsidP="004A6949">
      <w:pPr>
        <w:pStyle w:val="BodyTextIndent"/>
        <w:jc w:val="left"/>
        <w:rPr>
          <w:b/>
          <w:bCs/>
          <w:sz w:val="22"/>
          <w:szCs w:val="22"/>
        </w:rPr>
      </w:pPr>
    </w:p>
    <w:p w14:paraId="5F182504" w14:textId="77777777" w:rsidR="004A6949" w:rsidRPr="006C104F" w:rsidRDefault="004A6949" w:rsidP="007D2761">
      <w:pPr>
        <w:pStyle w:val="BodyTextIndent"/>
        <w:rPr>
          <w:b/>
          <w:bCs/>
          <w:sz w:val="22"/>
          <w:szCs w:val="22"/>
        </w:rPr>
      </w:pPr>
    </w:p>
    <w:p w14:paraId="3C50FCA5" w14:textId="3D01F435" w:rsidR="004A6949" w:rsidRPr="006C104F" w:rsidRDefault="007943E8" w:rsidP="007D2761">
      <w:pPr>
        <w:pStyle w:val="BodyTextIndent"/>
        <w:ind w:left="0" w:firstLine="0"/>
        <w:rPr>
          <w:b/>
          <w:bCs/>
          <w:color w:val="FF0000"/>
          <w:sz w:val="22"/>
          <w:szCs w:val="22"/>
        </w:rPr>
      </w:pPr>
      <w:r>
        <w:rPr>
          <w:b/>
          <w:bCs/>
          <w:color w:val="FF0000"/>
          <w:sz w:val="22"/>
          <w:szCs w:val="22"/>
        </w:rPr>
        <w:t>17</w:t>
      </w:r>
      <w:r w:rsidR="00745985">
        <w:rPr>
          <w:b/>
          <w:bCs/>
          <w:color w:val="FF0000"/>
          <w:sz w:val="22"/>
          <w:szCs w:val="22"/>
        </w:rPr>
        <w:t>/</w:t>
      </w:r>
      <w:r>
        <w:rPr>
          <w:b/>
          <w:bCs/>
          <w:color w:val="FF0000"/>
          <w:sz w:val="22"/>
          <w:szCs w:val="22"/>
        </w:rPr>
        <w:t>10</w:t>
      </w:r>
      <w:r w:rsidR="00745985">
        <w:rPr>
          <w:b/>
          <w:bCs/>
          <w:color w:val="FF0000"/>
          <w:sz w:val="22"/>
          <w:szCs w:val="22"/>
        </w:rPr>
        <w:t>/202</w:t>
      </w:r>
      <w:r w:rsidR="009C1C8E">
        <w:rPr>
          <w:b/>
          <w:bCs/>
          <w:color w:val="FF0000"/>
          <w:sz w:val="22"/>
          <w:szCs w:val="22"/>
        </w:rPr>
        <w:t>4</w:t>
      </w:r>
    </w:p>
    <w:p w14:paraId="136D0308" w14:textId="582D4D99" w:rsidR="00E5144A" w:rsidRPr="003F4B96" w:rsidRDefault="004A6949" w:rsidP="00791EA5">
      <w:pPr>
        <w:spacing w:after="160" w:line="259" w:lineRule="auto"/>
        <w:jc w:val="both"/>
        <w:rPr>
          <w:b/>
          <w:bCs/>
          <w:sz w:val="22"/>
          <w:szCs w:val="22"/>
        </w:rPr>
      </w:pPr>
      <w:r w:rsidRPr="006C104F">
        <w:rPr>
          <w:b/>
          <w:bCs/>
          <w:sz w:val="22"/>
          <w:szCs w:val="22"/>
        </w:rPr>
        <w:br w:type="page"/>
      </w:r>
      <w:r w:rsidR="004F3B16" w:rsidRPr="006C104F">
        <w:rPr>
          <w:b/>
          <w:bCs/>
          <w:sz w:val="22"/>
          <w:szCs w:val="22"/>
        </w:rPr>
        <w:lastRenderedPageBreak/>
        <w:t xml:space="preserve">In line with National guidance on below EU threshold procurement the Department of </w:t>
      </w:r>
      <w:r w:rsidR="008338FD" w:rsidRPr="006C104F">
        <w:rPr>
          <w:b/>
          <w:bCs/>
          <w:sz w:val="22"/>
          <w:szCs w:val="22"/>
        </w:rPr>
        <w:t>H</w:t>
      </w:r>
      <w:r w:rsidR="004F3B16" w:rsidRPr="006C104F">
        <w:rPr>
          <w:b/>
          <w:bCs/>
          <w:sz w:val="22"/>
          <w:szCs w:val="22"/>
        </w:rPr>
        <w:t xml:space="preserve">ealth intends to conduct </w:t>
      </w:r>
      <w:proofErr w:type="gramStart"/>
      <w:r w:rsidR="004F3B16" w:rsidRPr="006C104F">
        <w:rPr>
          <w:b/>
          <w:bCs/>
          <w:sz w:val="22"/>
          <w:szCs w:val="22"/>
        </w:rPr>
        <w:t>less</w:t>
      </w:r>
      <w:proofErr w:type="gramEnd"/>
      <w:r w:rsidR="004F3B16" w:rsidRPr="006C104F">
        <w:rPr>
          <w:b/>
          <w:bCs/>
          <w:sz w:val="22"/>
          <w:szCs w:val="22"/>
        </w:rPr>
        <w:t xml:space="preserve"> formal procedures </w:t>
      </w:r>
      <w:r w:rsidR="00BC11A6" w:rsidRPr="006C104F">
        <w:rPr>
          <w:b/>
          <w:bCs/>
          <w:sz w:val="22"/>
          <w:szCs w:val="22"/>
        </w:rPr>
        <w:t xml:space="preserve">whereby </w:t>
      </w:r>
      <w:r w:rsidR="004F3B16" w:rsidRPr="006C104F">
        <w:rPr>
          <w:b/>
          <w:bCs/>
          <w:sz w:val="22"/>
          <w:szCs w:val="22"/>
        </w:rPr>
        <w:t xml:space="preserve">contracts for </w:t>
      </w:r>
      <w:r w:rsidR="003A162C" w:rsidRPr="006C104F">
        <w:rPr>
          <w:b/>
          <w:bCs/>
          <w:sz w:val="22"/>
          <w:szCs w:val="22"/>
        </w:rPr>
        <w:t xml:space="preserve">services </w:t>
      </w:r>
      <w:r w:rsidR="004F3B16" w:rsidRPr="006C104F">
        <w:rPr>
          <w:b/>
          <w:bCs/>
          <w:sz w:val="22"/>
          <w:szCs w:val="22"/>
        </w:rPr>
        <w:t>with an estimated value between €5,000 and €5</w:t>
      </w:r>
      <w:r w:rsidR="00682B16">
        <w:rPr>
          <w:b/>
          <w:bCs/>
          <w:sz w:val="22"/>
          <w:szCs w:val="22"/>
        </w:rPr>
        <w:t>0</w:t>
      </w:r>
      <w:r w:rsidR="004F3B16" w:rsidRPr="006C104F">
        <w:rPr>
          <w:b/>
          <w:bCs/>
          <w:sz w:val="22"/>
          <w:szCs w:val="22"/>
        </w:rPr>
        <w:t>,000</w:t>
      </w:r>
      <w:r w:rsidR="00BC11A6" w:rsidRPr="006C104F">
        <w:rPr>
          <w:b/>
          <w:bCs/>
          <w:sz w:val="22"/>
          <w:szCs w:val="22"/>
        </w:rPr>
        <w:t xml:space="preserve"> </w:t>
      </w:r>
      <w:bookmarkStart w:id="0" w:name="_Hlk63412179"/>
      <w:r w:rsidR="004F3B16" w:rsidRPr="006C104F">
        <w:rPr>
          <w:b/>
          <w:bCs/>
          <w:sz w:val="22"/>
          <w:szCs w:val="22"/>
        </w:rPr>
        <w:t>(exclusive of VAT)</w:t>
      </w:r>
      <w:bookmarkEnd w:id="0"/>
      <w:r w:rsidR="004F3B16" w:rsidRPr="006C104F">
        <w:rPr>
          <w:b/>
          <w:bCs/>
          <w:sz w:val="22"/>
          <w:szCs w:val="22"/>
        </w:rPr>
        <w:t xml:space="preserve"> can be awarded on the basis of responses to written specifications</w:t>
      </w:r>
      <w:r w:rsidR="00BC11A6" w:rsidRPr="006C104F">
        <w:rPr>
          <w:b/>
          <w:bCs/>
          <w:sz w:val="22"/>
          <w:szCs w:val="22"/>
        </w:rPr>
        <w:t>. This R</w:t>
      </w:r>
      <w:r w:rsidR="00194A25">
        <w:rPr>
          <w:b/>
          <w:bCs/>
          <w:sz w:val="22"/>
          <w:szCs w:val="22"/>
        </w:rPr>
        <w:t>equest for Quote (RF</w:t>
      </w:r>
      <w:r w:rsidR="00BC11A6" w:rsidRPr="006C104F">
        <w:rPr>
          <w:b/>
          <w:bCs/>
          <w:sz w:val="22"/>
          <w:szCs w:val="22"/>
        </w:rPr>
        <w:t>Q</w:t>
      </w:r>
      <w:r w:rsidR="00194A25">
        <w:rPr>
          <w:b/>
          <w:bCs/>
          <w:sz w:val="22"/>
          <w:szCs w:val="22"/>
        </w:rPr>
        <w:t>)</w:t>
      </w:r>
      <w:r w:rsidR="00BC11A6" w:rsidRPr="006C104F">
        <w:rPr>
          <w:b/>
          <w:bCs/>
          <w:sz w:val="22"/>
          <w:szCs w:val="22"/>
        </w:rPr>
        <w:t xml:space="preserve"> is to be used to fulfil this type of procurement only.</w:t>
      </w:r>
    </w:p>
    <w:p w14:paraId="3E37C0D4" w14:textId="5D06DD0B" w:rsidR="00FC4839" w:rsidRPr="00DF553D" w:rsidRDefault="00BC11A6" w:rsidP="003F4B96">
      <w:pPr>
        <w:spacing w:after="160" w:line="259" w:lineRule="auto"/>
        <w:jc w:val="center"/>
        <w:rPr>
          <w:b/>
          <w:bCs/>
          <w:color w:val="FF0000"/>
          <w:sz w:val="22"/>
          <w:szCs w:val="22"/>
        </w:rPr>
      </w:pPr>
      <w:r w:rsidRPr="006C104F">
        <w:rPr>
          <w:b/>
          <w:bCs/>
          <w:sz w:val="22"/>
          <w:szCs w:val="22"/>
        </w:rPr>
        <w:br w:type="page"/>
      </w:r>
    </w:p>
    <w:p w14:paraId="690983E5" w14:textId="77777777" w:rsidR="00BC11A6" w:rsidRPr="006C104F" w:rsidRDefault="00BC11A6" w:rsidP="00BC11A6">
      <w:pPr>
        <w:spacing w:after="160" w:line="259" w:lineRule="auto"/>
        <w:rPr>
          <w:b/>
          <w:bCs/>
          <w:sz w:val="22"/>
          <w:szCs w:val="22"/>
        </w:rPr>
      </w:pPr>
    </w:p>
    <w:p w14:paraId="5A21609E" w14:textId="55046AC3" w:rsidR="00685E76" w:rsidRPr="006C104F" w:rsidRDefault="00E5144A" w:rsidP="004A6949">
      <w:pPr>
        <w:pStyle w:val="BodyTextIndent"/>
        <w:ind w:left="0" w:firstLine="0"/>
        <w:jc w:val="both"/>
        <w:rPr>
          <w:sz w:val="22"/>
          <w:szCs w:val="22"/>
        </w:rPr>
      </w:pPr>
      <w:r w:rsidRPr="006C104F">
        <w:rPr>
          <w:b/>
          <w:bCs/>
          <w:sz w:val="22"/>
          <w:szCs w:val="22"/>
        </w:rPr>
        <w:t>The</w:t>
      </w:r>
      <w:r w:rsidR="004523D8" w:rsidRPr="006C104F">
        <w:rPr>
          <w:b/>
          <w:bCs/>
          <w:sz w:val="22"/>
          <w:szCs w:val="22"/>
        </w:rPr>
        <w:t xml:space="preserve"> Department of </w:t>
      </w:r>
      <w:r w:rsidR="004147B6" w:rsidRPr="006C104F">
        <w:rPr>
          <w:b/>
          <w:bCs/>
          <w:sz w:val="22"/>
          <w:szCs w:val="22"/>
        </w:rPr>
        <w:t xml:space="preserve">Health invites tender proposals </w:t>
      </w:r>
      <w:r w:rsidR="004A6949" w:rsidRPr="006C104F">
        <w:rPr>
          <w:b/>
          <w:bCs/>
          <w:sz w:val="22"/>
          <w:szCs w:val="22"/>
        </w:rPr>
        <w:t>for the</w:t>
      </w:r>
      <w:r w:rsidR="00512D21" w:rsidRPr="006C104F">
        <w:rPr>
          <w:b/>
          <w:bCs/>
          <w:sz w:val="22"/>
          <w:szCs w:val="22"/>
        </w:rPr>
        <w:t xml:space="preserve"> services</w:t>
      </w:r>
      <w:r w:rsidRPr="006C104F">
        <w:rPr>
          <w:b/>
          <w:bCs/>
          <w:sz w:val="22"/>
          <w:szCs w:val="22"/>
        </w:rPr>
        <w:t xml:space="preserve"> </w:t>
      </w:r>
      <w:r w:rsidR="004A6949" w:rsidRPr="006C104F">
        <w:rPr>
          <w:b/>
          <w:bCs/>
          <w:sz w:val="22"/>
          <w:szCs w:val="22"/>
        </w:rPr>
        <w:t>described below. It is intended to</w:t>
      </w:r>
      <w:r w:rsidR="004A6949" w:rsidRPr="006C104F">
        <w:rPr>
          <w:sz w:val="22"/>
          <w:szCs w:val="22"/>
        </w:rPr>
        <w:t xml:space="preserve"> commence the work in </w:t>
      </w:r>
      <w:r w:rsidR="007943E8">
        <w:rPr>
          <w:color w:val="FF0000"/>
          <w:sz w:val="22"/>
          <w:szCs w:val="22"/>
        </w:rPr>
        <w:t xml:space="preserve">end November </w:t>
      </w:r>
      <w:r w:rsidR="009C1C8E">
        <w:rPr>
          <w:color w:val="FF0000"/>
          <w:sz w:val="22"/>
          <w:szCs w:val="22"/>
        </w:rPr>
        <w:t>2024</w:t>
      </w:r>
      <w:r w:rsidR="004A6949" w:rsidRPr="006C104F">
        <w:rPr>
          <w:sz w:val="22"/>
          <w:szCs w:val="22"/>
        </w:rPr>
        <w:t xml:space="preserve">, see </w:t>
      </w:r>
      <w:r w:rsidR="00512D21" w:rsidRPr="006C104F">
        <w:rPr>
          <w:sz w:val="22"/>
          <w:szCs w:val="22"/>
        </w:rPr>
        <w:t xml:space="preserve">section 2 </w:t>
      </w:r>
      <w:r w:rsidR="004A6949" w:rsidRPr="006C104F">
        <w:rPr>
          <w:sz w:val="22"/>
          <w:szCs w:val="22"/>
        </w:rPr>
        <w:t>specification below for more details.</w:t>
      </w:r>
    </w:p>
    <w:p w14:paraId="13CF1AF8" w14:textId="77777777" w:rsidR="004A6949" w:rsidRPr="006C104F" w:rsidRDefault="004A6949" w:rsidP="004A6949">
      <w:pPr>
        <w:pStyle w:val="BodyTextIndent"/>
        <w:jc w:val="both"/>
        <w:rPr>
          <w:b/>
          <w:bCs/>
          <w:sz w:val="22"/>
          <w:szCs w:val="22"/>
        </w:rPr>
      </w:pPr>
    </w:p>
    <w:p w14:paraId="3BB35308" w14:textId="157ABA17" w:rsidR="004A6949" w:rsidRPr="006C104F" w:rsidRDefault="004A6949" w:rsidP="00745985">
      <w:pPr>
        <w:pStyle w:val="BodyTextIndent"/>
        <w:jc w:val="both"/>
        <w:rPr>
          <w:b/>
          <w:sz w:val="22"/>
          <w:szCs w:val="22"/>
        </w:rPr>
      </w:pPr>
      <w:r w:rsidRPr="006C104F">
        <w:rPr>
          <w:b/>
          <w:sz w:val="22"/>
          <w:szCs w:val="22"/>
        </w:rPr>
        <w:t>1.</w:t>
      </w:r>
      <w:r w:rsidRPr="006C104F">
        <w:rPr>
          <w:b/>
          <w:sz w:val="22"/>
          <w:szCs w:val="22"/>
        </w:rPr>
        <w:tab/>
        <w:t>BACKGROUND</w:t>
      </w:r>
    </w:p>
    <w:p w14:paraId="52D3A372" w14:textId="45A46C54" w:rsidR="00AC600F" w:rsidRPr="00AC600F" w:rsidRDefault="00AC600F" w:rsidP="00AC600F">
      <w:pPr>
        <w:spacing w:before="100" w:beforeAutospacing="1" w:after="100" w:afterAutospacing="1"/>
        <w:rPr>
          <w:b/>
          <w:bCs/>
          <w:szCs w:val="24"/>
          <w:lang w:val="en-IE" w:eastAsia="en-IE"/>
        </w:rPr>
      </w:pPr>
      <w:r w:rsidRPr="00AC600F">
        <w:rPr>
          <w:b/>
          <w:bCs/>
          <w:szCs w:val="24"/>
          <w:lang w:val="en-IE" w:eastAsia="en-IE"/>
        </w:rPr>
        <w:t>National Drugs Strategy 2017-202</w:t>
      </w:r>
      <w:r w:rsidR="00E94C76">
        <w:rPr>
          <w:b/>
          <w:bCs/>
          <w:szCs w:val="24"/>
          <w:lang w:val="en-IE" w:eastAsia="en-IE"/>
        </w:rPr>
        <w:t>5</w:t>
      </w:r>
    </w:p>
    <w:p w14:paraId="44072E2C" w14:textId="4D6FBDDD" w:rsidR="00324DB9" w:rsidRPr="00324DB9" w:rsidRDefault="00324DB9" w:rsidP="00324DB9">
      <w:pPr>
        <w:numPr>
          <w:ilvl w:val="0"/>
          <w:numId w:val="24"/>
        </w:numPr>
        <w:spacing w:before="100" w:beforeAutospacing="1" w:after="100" w:afterAutospacing="1"/>
        <w:rPr>
          <w:szCs w:val="24"/>
          <w:lang w:val="en-IE" w:eastAsia="en-IE"/>
        </w:rPr>
      </w:pPr>
      <w:r w:rsidRPr="00324DB9">
        <w:rPr>
          <w:szCs w:val="24"/>
          <w:lang w:val="en-IE" w:eastAsia="en-IE"/>
        </w:rPr>
        <w:t xml:space="preserve">The Government’s strategic response to addressing drug and alcohol </w:t>
      </w:r>
      <w:r w:rsidR="009C1C8E">
        <w:rPr>
          <w:szCs w:val="24"/>
          <w:lang w:val="en-IE" w:eastAsia="en-IE"/>
        </w:rPr>
        <w:t>use</w:t>
      </w:r>
      <w:r w:rsidRPr="00324DB9">
        <w:rPr>
          <w:szCs w:val="24"/>
          <w:lang w:val="en-IE" w:eastAsia="en-IE"/>
        </w:rPr>
        <w:t xml:space="preserve"> in Ireland is set out in Reducing Harm, Supporting Recovery – a health led response to drug and alcohol use in Ireland 2017-2025.</w:t>
      </w:r>
    </w:p>
    <w:p w14:paraId="628326D9" w14:textId="5FC1E01F" w:rsidR="00324DB9" w:rsidRDefault="00324DB9" w:rsidP="00324DB9">
      <w:pPr>
        <w:numPr>
          <w:ilvl w:val="0"/>
          <w:numId w:val="24"/>
        </w:numPr>
        <w:spacing w:before="100" w:beforeAutospacing="1" w:after="100" w:afterAutospacing="1"/>
        <w:rPr>
          <w:szCs w:val="24"/>
          <w:lang w:val="en-IE" w:eastAsia="en-IE"/>
        </w:rPr>
      </w:pPr>
      <w:r w:rsidRPr="00324DB9">
        <w:rPr>
          <w:szCs w:val="24"/>
          <w:lang w:val="en-IE" w:eastAsia="en-IE"/>
        </w:rPr>
        <w:t xml:space="preserve">This Strategy promotes a healthier and safer Ireland, where public health and safety </w:t>
      </w:r>
      <w:proofErr w:type="gramStart"/>
      <w:r w:rsidRPr="00324DB9">
        <w:rPr>
          <w:szCs w:val="24"/>
          <w:lang w:val="en-IE" w:eastAsia="en-IE"/>
        </w:rPr>
        <w:t>is protected</w:t>
      </w:r>
      <w:proofErr w:type="gramEnd"/>
      <w:r w:rsidRPr="00324DB9">
        <w:rPr>
          <w:szCs w:val="24"/>
          <w:lang w:val="en-IE" w:eastAsia="en-IE"/>
        </w:rPr>
        <w:t>, and the harms caused to individuals, families and communities through substance misuse are reduced. The values that underpin the strategy</w:t>
      </w:r>
      <w:r w:rsidR="00745985">
        <w:rPr>
          <w:szCs w:val="24"/>
          <w:lang w:val="en-IE" w:eastAsia="en-IE"/>
        </w:rPr>
        <w:t xml:space="preserve"> </w:t>
      </w:r>
      <w:r w:rsidRPr="00324DB9">
        <w:rPr>
          <w:szCs w:val="24"/>
          <w:lang w:val="en-IE" w:eastAsia="en-IE"/>
        </w:rPr>
        <w:t>include, compassion, respect, equality, and inclusion.</w:t>
      </w:r>
    </w:p>
    <w:p w14:paraId="43076C66" w14:textId="18ACEA95" w:rsidR="008244EF" w:rsidRPr="00515C1C" w:rsidRDefault="008244EF" w:rsidP="00324DB9">
      <w:pPr>
        <w:numPr>
          <w:ilvl w:val="0"/>
          <w:numId w:val="24"/>
        </w:numPr>
        <w:spacing w:before="100" w:beforeAutospacing="1" w:after="100" w:afterAutospacing="1"/>
        <w:rPr>
          <w:szCs w:val="24"/>
          <w:lang w:val="en-IE" w:eastAsia="en-IE"/>
        </w:rPr>
      </w:pPr>
      <w:r>
        <w:rPr>
          <w:szCs w:val="24"/>
          <w:lang w:val="en-IE" w:eastAsia="en-IE"/>
        </w:rPr>
        <w:t xml:space="preserve">This strategy contained </w:t>
      </w:r>
      <w:r w:rsidR="00515C1C" w:rsidRPr="00515C1C">
        <w:rPr>
          <w:szCs w:val="24"/>
          <w:lang w:eastAsia="en-IE"/>
        </w:rPr>
        <w:t xml:space="preserve">a 50-point action plan with integrated actions and holistic interventions up to 2020. </w:t>
      </w:r>
    </w:p>
    <w:p w14:paraId="4CDCBDE5" w14:textId="7D064D65" w:rsidR="00515C1C" w:rsidRPr="00515C1C" w:rsidRDefault="00515C1C" w:rsidP="00324DB9">
      <w:pPr>
        <w:numPr>
          <w:ilvl w:val="0"/>
          <w:numId w:val="24"/>
        </w:numPr>
        <w:spacing w:before="100" w:beforeAutospacing="1" w:after="100" w:afterAutospacing="1"/>
        <w:rPr>
          <w:szCs w:val="24"/>
          <w:lang w:val="en-IE" w:eastAsia="en-IE"/>
        </w:rPr>
      </w:pPr>
      <w:r w:rsidRPr="00515C1C">
        <w:rPr>
          <w:szCs w:val="24"/>
          <w:lang w:eastAsia="en-IE"/>
        </w:rPr>
        <w:t>Lead departments/agencies for each action and sub-action contained in the strategy reported on the work undertaken during 2020 and provided their assessment of the progress in delivering on the actions over the period from 2017 to 2020.</w:t>
      </w:r>
    </w:p>
    <w:p w14:paraId="667843C4" w14:textId="24116E8A" w:rsidR="00515C1C" w:rsidRPr="00AC600F" w:rsidRDefault="00515C1C" w:rsidP="00324DB9">
      <w:pPr>
        <w:numPr>
          <w:ilvl w:val="0"/>
          <w:numId w:val="24"/>
        </w:numPr>
        <w:spacing w:before="100" w:beforeAutospacing="1" w:after="100" w:afterAutospacing="1"/>
        <w:rPr>
          <w:szCs w:val="24"/>
          <w:lang w:val="en-IE" w:eastAsia="en-IE"/>
        </w:rPr>
      </w:pPr>
      <w:r w:rsidRPr="00515C1C">
        <w:rPr>
          <w:szCs w:val="24"/>
          <w:lang w:eastAsia="en-IE"/>
        </w:rPr>
        <w:t>Analysis indicate</w:t>
      </w:r>
      <w:r w:rsidR="00DA1D0E">
        <w:rPr>
          <w:szCs w:val="24"/>
          <w:lang w:eastAsia="en-IE"/>
        </w:rPr>
        <w:t>d</w:t>
      </w:r>
      <w:r w:rsidRPr="00515C1C">
        <w:rPr>
          <w:szCs w:val="24"/>
          <w:lang w:eastAsia="en-IE"/>
        </w:rPr>
        <w:t xml:space="preserve"> that 25 actions have been delivered upon, either completely or broadly on track. A further 20 actions </w:t>
      </w:r>
      <w:r>
        <w:rPr>
          <w:szCs w:val="24"/>
          <w:lang w:eastAsia="en-IE"/>
        </w:rPr>
        <w:t>wer</w:t>
      </w:r>
      <w:r w:rsidRPr="00515C1C">
        <w:rPr>
          <w:szCs w:val="24"/>
          <w:lang w:eastAsia="en-IE"/>
        </w:rPr>
        <w:t xml:space="preserve">e progressing but with a minor or major delivery issue. </w:t>
      </w:r>
    </w:p>
    <w:p w14:paraId="2A4326A4" w14:textId="353430F4" w:rsidR="00AC600F" w:rsidRPr="00AC600F" w:rsidRDefault="00AC600F" w:rsidP="00AC600F">
      <w:pPr>
        <w:spacing w:before="100" w:beforeAutospacing="1"/>
        <w:rPr>
          <w:b/>
          <w:bCs/>
          <w:szCs w:val="24"/>
          <w:lang w:val="en-IE" w:eastAsia="en-IE"/>
        </w:rPr>
      </w:pPr>
      <w:r w:rsidRPr="00AC600F">
        <w:rPr>
          <w:b/>
          <w:bCs/>
          <w:szCs w:val="24"/>
          <w:lang w:eastAsia="en-IE"/>
        </w:rPr>
        <w:t>Mid-term Review 202</w:t>
      </w:r>
      <w:r>
        <w:rPr>
          <w:b/>
          <w:bCs/>
          <w:szCs w:val="24"/>
          <w:lang w:eastAsia="en-IE"/>
        </w:rPr>
        <w:t>0</w:t>
      </w:r>
    </w:p>
    <w:p w14:paraId="78061761" w14:textId="77777777" w:rsidR="00515C1C" w:rsidRDefault="008244EF" w:rsidP="00AC600F">
      <w:pPr>
        <w:pStyle w:val="ListParagraph"/>
        <w:numPr>
          <w:ilvl w:val="0"/>
          <w:numId w:val="24"/>
        </w:numPr>
        <w:spacing w:before="100" w:beforeAutospacing="1"/>
        <w:rPr>
          <w:szCs w:val="24"/>
          <w:lang w:val="en-IE" w:eastAsia="en-IE"/>
        </w:rPr>
      </w:pPr>
      <w:r w:rsidRPr="008244EF">
        <w:rPr>
          <w:szCs w:val="24"/>
          <w:lang w:val="en-IE" w:eastAsia="en-IE"/>
        </w:rPr>
        <w:t>The strategy</w:t>
      </w:r>
      <w:r w:rsidR="00E21D8C">
        <w:rPr>
          <w:szCs w:val="24"/>
          <w:lang w:val="en-IE" w:eastAsia="en-IE"/>
        </w:rPr>
        <w:t xml:space="preserve"> also</w:t>
      </w:r>
      <w:r w:rsidRPr="008244EF">
        <w:rPr>
          <w:szCs w:val="24"/>
          <w:lang w:val="en-IE" w:eastAsia="en-IE"/>
        </w:rPr>
        <w:t xml:space="preserve"> provide</w:t>
      </w:r>
      <w:r w:rsidR="00E21D8C">
        <w:rPr>
          <w:szCs w:val="24"/>
          <w:lang w:val="en-IE" w:eastAsia="en-IE"/>
        </w:rPr>
        <w:t>d</w:t>
      </w:r>
      <w:r w:rsidRPr="008244EF">
        <w:rPr>
          <w:szCs w:val="24"/>
          <w:lang w:val="en-IE" w:eastAsia="en-IE"/>
        </w:rPr>
        <w:t xml:space="preserve"> the opportunity for the development of further actions from 2021 to 2025 to address needs that</w:t>
      </w:r>
      <w:r w:rsidR="00515C1C">
        <w:rPr>
          <w:szCs w:val="24"/>
          <w:lang w:val="en-IE" w:eastAsia="en-IE"/>
        </w:rPr>
        <w:t xml:space="preserve"> may have</w:t>
      </w:r>
      <w:r w:rsidRPr="008244EF">
        <w:rPr>
          <w:szCs w:val="24"/>
          <w:lang w:val="en-IE" w:eastAsia="en-IE"/>
        </w:rPr>
        <w:t xml:space="preserve"> emerge</w:t>
      </w:r>
      <w:r w:rsidR="00515C1C">
        <w:rPr>
          <w:szCs w:val="24"/>
          <w:lang w:val="en-IE" w:eastAsia="en-IE"/>
        </w:rPr>
        <w:t>d</w:t>
      </w:r>
      <w:r w:rsidRPr="008244EF">
        <w:rPr>
          <w:szCs w:val="24"/>
          <w:lang w:val="en-IE" w:eastAsia="en-IE"/>
        </w:rPr>
        <w:t xml:space="preserve"> later in the lifetime of the strategy. </w:t>
      </w:r>
    </w:p>
    <w:p w14:paraId="7F7E59AE" w14:textId="77777777" w:rsidR="00515C1C" w:rsidRDefault="00515C1C" w:rsidP="008244EF">
      <w:pPr>
        <w:pStyle w:val="ListParagraph"/>
        <w:numPr>
          <w:ilvl w:val="0"/>
          <w:numId w:val="24"/>
        </w:numPr>
        <w:spacing w:before="100" w:beforeAutospacing="1" w:after="100" w:afterAutospacing="1"/>
        <w:rPr>
          <w:szCs w:val="24"/>
          <w:lang w:val="en-IE" w:eastAsia="en-IE"/>
        </w:rPr>
      </w:pPr>
      <w:r>
        <w:rPr>
          <w:szCs w:val="24"/>
          <w:lang w:val="en-IE" w:eastAsia="en-IE"/>
        </w:rPr>
        <w:t xml:space="preserve">As such, the </w:t>
      </w:r>
      <w:r w:rsidR="008244EF" w:rsidRPr="008244EF">
        <w:rPr>
          <w:szCs w:val="24"/>
          <w:lang w:val="en-IE" w:eastAsia="en-IE"/>
        </w:rPr>
        <w:t xml:space="preserve">department completed a mid-term review of the actions in the strategy, in consultation with stakeholders. The review provided an opportunity to reflect on </w:t>
      </w:r>
    </w:p>
    <w:p w14:paraId="28D8D56F" w14:textId="77777777" w:rsidR="00515C1C" w:rsidRDefault="008244EF" w:rsidP="00515C1C">
      <w:pPr>
        <w:pStyle w:val="ListParagraph"/>
        <w:numPr>
          <w:ilvl w:val="1"/>
          <w:numId w:val="24"/>
        </w:numPr>
        <w:spacing w:before="100" w:beforeAutospacing="1" w:after="100" w:afterAutospacing="1"/>
        <w:rPr>
          <w:szCs w:val="24"/>
          <w:lang w:val="en-IE" w:eastAsia="en-IE"/>
        </w:rPr>
      </w:pPr>
      <w:r w:rsidRPr="008244EF">
        <w:rPr>
          <w:szCs w:val="24"/>
          <w:lang w:val="en-IE" w:eastAsia="en-IE"/>
        </w:rPr>
        <w:t xml:space="preserve">progress in implementing the strategy from 2017 to 2020, </w:t>
      </w:r>
    </w:p>
    <w:p w14:paraId="65B78831" w14:textId="77777777" w:rsidR="00515C1C" w:rsidRDefault="008244EF" w:rsidP="00515C1C">
      <w:pPr>
        <w:pStyle w:val="ListParagraph"/>
        <w:numPr>
          <w:ilvl w:val="1"/>
          <w:numId w:val="24"/>
        </w:numPr>
        <w:spacing w:before="100" w:beforeAutospacing="1" w:after="100" w:afterAutospacing="1"/>
        <w:rPr>
          <w:szCs w:val="24"/>
          <w:lang w:val="en-IE" w:eastAsia="en-IE"/>
        </w:rPr>
      </w:pPr>
      <w:r w:rsidRPr="008244EF">
        <w:rPr>
          <w:szCs w:val="24"/>
          <w:lang w:val="en-IE" w:eastAsia="en-IE"/>
        </w:rPr>
        <w:t xml:space="preserve">progress achieved to-date under the action plan, </w:t>
      </w:r>
    </w:p>
    <w:p w14:paraId="46D9B7FD" w14:textId="623D08DA" w:rsidR="00515C1C" w:rsidRDefault="008244EF" w:rsidP="00515C1C">
      <w:pPr>
        <w:pStyle w:val="ListParagraph"/>
        <w:numPr>
          <w:ilvl w:val="1"/>
          <w:numId w:val="24"/>
        </w:numPr>
        <w:spacing w:before="100" w:beforeAutospacing="1" w:after="100" w:afterAutospacing="1"/>
        <w:rPr>
          <w:szCs w:val="24"/>
          <w:lang w:val="en-IE" w:eastAsia="en-IE"/>
        </w:rPr>
      </w:pPr>
      <w:r w:rsidRPr="008244EF">
        <w:rPr>
          <w:szCs w:val="24"/>
          <w:lang w:val="en-IE" w:eastAsia="en-IE"/>
        </w:rPr>
        <w:t xml:space="preserve">to identify any </w:t>
      </w:r>
      <w:proofErr w:type="gramStart"/>
      <w:r w:rsidRPr="008244EF">
        <w:rPr>
          <w:szCs w:val="24"/>
          <w:lang w:val="en-IE" w:eastAsia="en-IE"/>
        </w:rPr>
        <w:t>new issues</w:t>
      </w:r>
      <w:proofErr w:type="gramEnd"/>
      <w:r w:rsidRPr="008244EF">
        <w:rPr>
          <w:szCs w:val="24"/>
          <w:lang w:val="en-IE" w:eastAsia="en-IE"/>
        </w:rPr>
        <w:t xml:space="preserve"> that have arisen since the strategy was launched including the impact of COVID-19 </w:t>
      </w:r>
    </w:p>
    <w:p w14:paraId="2428CF6E" w14:textId="4CF0A43E" w:rsidR="008244EF" w:rsidRDefault="008244EF" w:rsidP="00515C1C">
      <w:pPr>
        <w:pStyle w:val="ListParagraph"/>
        <w:numPr>
          <w:ilvl w:val="1"/>
          <w:numId w:val="24"/>
        </w:numPr>
        <w:spacing w:before="100" w:beforeAutospacing="1" w:after="100" w:afterAutospacing="1"/>
        <w:rPr>
          <w:szCs w:val="24"/>
          <w:lang w:val="en-IE" w:eastAsia="en-IE"/>
        </w:rPr>
      </w:pPr>
      <w:r w:rsidRPr="008244EF">
        <w:rPr>
          <w:szCs w:val="24"/>
          <w:lang w:val="en-IE" w:eastAsia="en-IE"/>
        </w:rPr>
        <w:t>to consider the development of new actions for the remainder of the strategy to address emerging needs and challenges.</w:t>
      </w:r>
    </w:p>
    <w:p w14:paraId="58074171" w14:textId="77777777" w:rsidR="003F19F6" w:rsidRPr="008244EF" w:rsidRDefault="003F19F6" w:rsidP="003F19F6">
      <w:pPr>
        <w:pStyle w:val="ListParagraph"/>
        <w:spacing w:before="100" w:beforeAutospacing="1" w:after="100" w:afterAutospacing="1"/>
        <w:ind w:left="1080"/>
        <w:rPr>
          <w:szCs w:val="24"/>
          <w:lang w:val="en-IE" w:eastAsia="en-IE"/>
        </w:rPr>
      </w:pPr>
    </w:p>
    <w:p w14:paraId="53C25D19" w14:textId="0C4AF95A" w:rsidR="00E94C76" w:rsidRPr="00E94C76" w:rsidRDefault="00E94C76" w:rsidP="00E94C76">
      <w:pPr>
        <w:numPr>
          <w:ilvl w:val="0"/>
          <w:numId w:val="24"/>
        </w:numPr>
        <w:spacing w:before="100" w:beforeAutospacing="1" w:after="100" w:afterAutospacing="1"/>
        <w:rPr>
          <w:szCs w:val="24"/>
          <w:lang w:val="en-IE" w:eastAsia="en-IE"/>
        </w:rPr>
      </w:pPr>
      <w:r>
        <w:rPr>
          <w:szCs w:val="24"/>
          <w:lang w:val="en-IE" w:eastAsia="en-IE"/>
        </w:rPr>
        <w:t xml:space="preserve">The </w:t>
      </w:r>
      <w:hyperlink r:id="rId12" w:anchor="page=null" w:history="1">
        <w:r w:rsidR="00324DB9" w:rsidRPr="00E94C76">
          <w:rPr>
            <w:rStyle w:val="Hyperlink"/>
            <w:szCs w:val="24"/>
            <w:lang w:val="en-IE" w:eastAsia="en-IE"/>
          </w:rPr>
          <w:t>Mid Term Review</w:t>
        </w:r>
      </w:hyperlink>
      <w:r w:rsidR="009C1C8E" w:rsidRPr="00E94C76">
        <w:rPr>
          <w:szCs w:val="24"/>
          <w:lang w:val="en-IE" w:eastAsia="en-IE"/>
        </w:rPr>
        <w:t>,</w:t>
      </w:r>
      <w:r w:rsidR="00324DB9" w:rsidRPr="00E94C76">
        <w:rPr>
          <w:szCs w:val="24"/>
          <w:lang w:val="en-IE" w:eastAsia="en-IE"/>
        </w:rPr>
        <w:t xml:space="preserve"> </w:t>
      </w:r>
      <w:r>
        <w:rPr>
          <w:szCs w:val="24"/>
          <w:lang w:val="en-IE" w:eastAsia="en-IE"/>
        </w:rPr>
        <w:t xml:space="preserve">identified </w:t>
      </w:r>
      <w:r w:rsidR="00324DB9" w:rsidRPr="00E94C76">
        <w:rPr>
          <w:szCs w:val="24"/>
          <w:lang w:val="en-IE" w:eastAsia="en-IE"/>
        </w:rPr>
        <w:t>six strategic priorities identified to strengthen the implementation of the national drugs strategy for the period 2021-2025</w:t>
      </w:r>
      <w:r>
        <w:rPr>
          <w:szCs w:val="24"/>
          <w:lang w:val="en-IE" w:eastAsia="en-IE"/>
        </w:rPr>
        <w:t xml:space="preserve">. </w:t>
      </w:r>
    </w:p>
    <w:p w14:paraId="1C559296" w14:textId="69DB24AB" w:rsidR="00E94C76" w:rsidRPr="00E94C76" w:rsidRDefault="00E94C76" w:rsidP="006A6270">
      <w:pPr>
        <w:numPr>
          <w:ilvl w:val="0"/>
          <w:numId w:val="24"/>
        </w:numPr>
        <w:spacing w:before="100" w:beforeAutospacing="1" w:after="100" w:afterAutospacing="1"/>
        <w:rPr>
          <w:szCs w:val="24"/>
          <w:lang w:val="en-IE" w:eastAsia="en-IE"/>
        </w:rPr>
      </w:pPr>
      <w:r>
        <w:t>The priorities are designed to strengthen the health-led approach to drugs, reflect commitments in the Programme for Government and align with the EU Drugs Strategy &amp; Action Plan. By having a few key strategic priorities, supported by relevant actions, we can provide greater coherence to the strategy and facilitate cross-pillar and cross-government coordination.</w:t>
      </w:r>
    </w:p>
    <w:p w14:paraId="60803D4A" w14:textId="24868AD7" w:rsidR="00E94C76" w:rsidRPr="00E94C76" w:rsidRDefault="00E94C76" w:rsidP="006A6270">
      <w:pPr>
        <w:numPr>
          <w:ilvl w:val="0"/>
          <w:numId w:val="24"/>
        </w:numPr>
        <w:spacing w:before="100" w:beforeAutospacing="1" w:after="100" w:afterAutospacing="1"/>
        <w:rPr>
          <w:szCs w:val="24"/>
          <w:lang w:val="en-IE" w:eastAsia="en-IE"/>
        </w:rPr>
      </w:pPr>
      <w:r>
        <w:t>The strategic priorities are</w:t>
      </w:r>
      <w:r w:rsidRPr="00E94C76">
        <w:rPr>
          <w:szCs w:val="24"/>
          <w:lang w:val="en-IE" w:eastAsia="en-IE"/>
        </w:rPr>
        <w:t>:</w:t>
      </w:r>
    </w:p>
    <w:p w14:paraId="32BC300D" w14:textId="77777777" w:rsidR="00E94C76" w:rsidRDefault="00E94C76" w:rsidP="00E94C76">
      <w:pPr>
        <w:numPr>
          <w:ilvl w:val="1"/>
          <w:numId w:val="25"/>
        </w:numPr>
        <w:spacing w:before="100" w:beforeAutospacing="1" w:after="100" w:afterAutospacing="1"/>
        <w:rPr>
          <w:szCs w:val="24"/>
          <w:lang w:val="en-IE" w:eastAsia="en-IE"/>
        </w:rPr>
      </w:pPr>
      <w:r w:rsidRPr="00225C0A">
        <w:rPr>
          <w:szCs w:val="24"/>
          <w:lang w:val="en-IE" w:eastAsia="en-IE"/>
        </w:rPr>
        <w:t>strengthen the prevention of drug and alcohol use among children and young people</w:t>
      </w:r>
      <w:r>
        <w:rPr>
          <w:szCs w:val="24"/>
          <w:lang w:val="en-IE" w:eastAsia="en-IE"/>
        </w:rPr>
        <w:t xml:space="preserve">, </w:t>
      </w:r>
    </w:p>
    <w:p w14:paraId="788C3956" w14:textId="77777777" w:rsidR="00E94C76" w:rsidRDefault="00E94C76" w:rsidP="00E94C76">
      <w:pPr>
        <w:numPr>
          <w:ilvl w:val="1"/>
          <w:numId w:val="25"/>
        </w:numPr>
        <w:spacing w:before="100" w:beforeAutospacing="1" w:after="100" w:afterAutospacing="1"/>
        <w:rPr>
          <w:szCs w:val="24"/>
          <w:lang w:val="en-IE" w:eastAsia="en-IE"/>
        </w:rPr>
      </w:pPr>
      <w:r w:rsidRPr="00225C0A">
        <w:rPr>
          <w:szCs w:val="24"/>
          <w:lang w:val="en-IE" w:eastAsia="en-IE"/>
        </w:rPr>
        <w:lastRenderedPageBreak/>
        <w:t>enhance access and delivery of drug and alcohol services in the community</w:t>
      </w:r>
      <w:r>
        <w:rPr>
          <w:szCs w:val="24"/>
          <w:lang w:val="en-IE" w:eastAsia="en-IE"/>
        </w:rPr>
        <w:t xml:space="preserve">, </w:t>
      </w:r>
    </w:p>
    <w:p w14:paraId="3680978C" w14:textId="03A80C48" w:rsidR="00E94C76" w:rsidRDefault="00E94C76" w:rsidP="00E94C76">
      <w:pPr>
        <w:numPr>
          <w:ilvl w:val="1"/>
          <w:numId w:val="25"/>
        </w:numPr>
        <w:spacing w:before="100" w:beforeAutospacing="1" w:after="100" w:afterAutospacing="1"/>
        <w:rPr>
          <w:szCs w:val="24"/>
          <w:lang w:val="en-IE" w:eastAsia="en-IE"/>
        </w:rPr>
      </w:pPr>
      <w:r>
        <w:rPr>
          <w:szCs w:val="24"/>
          <w:lang w:eastAsia="en-IE"/>
        </w:rPr>
        <w:t>d</w:t>
      </w:r>
      <w:r w:rsidRPr="009C1C8E">
        <w:rPr>
          <w:szCs w:val="24"/>
          <w:lang w:eastAsia="en-IE"/>
        </w:rPr>
        <w:t xml:space="preserve">evelop </w:t>
      </w:r>
      <w:r w:rsidR="008A2867">
        <w:rPr>
          <w:szCs w:val="24"/>
          <w:lang w:eastAsia="en-IE"/>
        </w:rPr>
        <w:t xml:space="preserve">harm reduction responses and </w:t>
      </w:r>
      <w:r w:rsidRPr="009C1C8E">
        <w:rPr>
          <w:szCs w:val="24"/>
          <w:lang w:eastAsia="en-IE"/>
        </w:rPr>
        <w:t xml:space="preserve">integrated care pathways for high-risk drug users to achieve better health </w:t>
      </w:r>
      <w:proofErr w:type="gramStart"/>
      <w:r w:rsidRPr="009C1C8E">
        <w:rPr>
          <w:szCs w:val="24"/>
          <w:lang w:eastAsia="en-IE"/>
        </w:rPr>
        <w:t>outcomes;</w:t>
      </w:r>
      <w:proofErr w:type="gramEnd"/>
    </w:p>
    <w:p w14:paraId="7E42A0B6" w14:textId="77777777" w:rsidR="00E94C76" w:rsidRDefault="00E94C76" w:rsidP="00E94C76">
      <w:pPr>
        <w:numPr>
          <w:ilvl w:val="1"/>
          <w:numId w:val="25"/>
        </w:numPr>
        <w:spacing w:before="100" w:beforeAutospacing="1" w:after="100" w:afterAutospacing="1"/>
        <w:rPr>
          <w:szCs w:val="24"/>
          <w:lang w:val="en-IE" w:eastAsia="en-IE"/>
        </w:rPr>
      </w:pPr>
      <w:r w:rsidRPr="00225C0A">
        <w:rPr>
          <w:szCs w:val="24"/>
          <w:lang w:val="en-IE" w:eastAsia="en-IE"/>
        </w:rPr>
        <w:t>address the social determinants and consequences of drugs use in disadvantaged communities</w:t>
      </w:r>
      <w:r>
        <w:rPr>
          <w:szCs w:val="24"/>
          <w:lang w:val="en-IE" w:eastAsia="en-IE"/>
        </w:rPr>
        <w:t xml:space="preserve">, </w:t>
      </w:r>
    </w:p>
    <w:p w14:paraId="5D1C5190" w14:textId="77777777" w:rsidR="00E94C76" w:rsidRDefault="00E94C76" w:rsidP="00E94C76">
      <w:pPr>
        <w:numPr>
          <w:ilvl w:val="1"/>
          <w:numId w:val="25"/>
        </w:numPr>
        <w:spacing w:before="100" w:beforeAutospacing="1" w:after="100" w:afterAutospacing="1"/>
        <w:rPr>
          <w:szCs w:val="24"/>
          <w:lang w:val="en-IE" w:eastAsia="en-IE"/>
        </w:rPr>
      </w:pPr>
      <w:r w:rsidRPr="00225C0A">
        <w:rPr>
          <w:szCs w:val="24"/>
          <w:lang w:val="en-IE" w:eastAsia="en-IE"/>
        </w:rPr>
        <w:t>promote alternatives to coercive sanctions for drug-related offences</w:t>
      </w:r>
      <w:r>
        <w:rPr>
          <w:szCs w:val="24"/>
          <w:lang w:val="en-IE" w:eastAsia="en-IE"/>
        </w:rPr>
        <w:t xml:space="preserve">, </w:t>
      </w:r>
    </w:p>
    <w:p w14:paraId="2271ED70" w14:textId="77777777" w:rsidR="00E94C76" w:rsidRPr="00225C0A" w:rsidRDefault="00E94C76" w:rsidP="00E94C76">
      <w:pPr>
        <w:numPr>
          <w:ilvl w:val="1"/>
          <w:numId w:val="25"/>
        </w:numPr>
        <w:spacing w:before="100" w:beforeAutospacing="1" w:after="100" w:afterAutospacing="1"/>
        <w:rPr>
          <w:szCs w:val="24"/>
          <w:lang w:val="en-IE" w:eastAsia="en-IE"/>
        </w:rPr>
      </w:pPr>
      <w:r w:rsidRPr="00225C0A">
        <w:rPr>
          <w:szCs w:val="24"/>
          <w:lang w:val="en-IE" w:eastAsia="en-IE"/>
        </w:rPr>
        <w:t xml:space="preserve">strengthen evidence-informed and outcomes-focused practice, services, </w:t>
      </w:r>
      <w:proofErr w:type="gramStart"/>
      <w:r w:rsidRPr="00225C0A">
        <w:rPr>
          <w:szCs w:val="24"/>
          <w:lang w:val="en-IE" w:eastAsia="en-IE"/>
        </w:rPr>
        <w:t>policies</w:t>
      </w:r>
      <w:proofErr w:type="gramEnd"/>
      <w:r w:rsidRPr="00225C0A">
        <w:rPr>
          <w:szCs w:val="24"/>
          <w:lang w:val="en-IE" w:eastAsia="en-IE"/>
        </w:rPr>
        <w:t xml:space="preserve"> and strategy implementation</w:t>
      </w:r>
      <w:r>
        <w:rPr>
          <w:szCs w:val="24"/>
          <w:lang w:val="en-IE" w:eastAsia="en-IE"/>
        </w:rPr>
        <w:t>.</w:t>
      </w:r>
    </w:p>
    <w:p w14:paraId="7043C653" w14:textId="74DDCAD9" w:rsidR="00AC600F" w:rsidRPr="00AC600F" w:rsidRDefault="00AC600F" w:rsidP="00AC600F">
      <w:pPr>
        <w:spacing w:before="100" w:beforeAutospacing="1" w:after="100" w:afterAutospacing="1"/>
        <w:rPr>
          <w:b/>
          <w:bCs/>
          <w:szCs w:val="24"/>
          <w:lang w:val="en-IE" w:eastAsia="en-IE"/>
        </w:rPr>
      </w:pPr>
      <w:r w:rsidRPr="00AC600F">
        <w:rPr>
          <w:b/>
          <w:bCs/>
          <w:szCs w:val="24"/>
          <w:lang w:val="en-IE" w:eastAsia="en-IE"/>
        </w:rPr>
        <w:t>Strategic Action Plan 2023-2024</w:t>
      </w:r>
    </w:p>
    <w:p w14:paraId="4AEB0211" w14:textId="64A48F69" w:rsidR="00E94C76" w:rsidRDefault="00225C0A" w:rsidP="009C1C8E">
      <w:pPr>
        <w:numPr>
          <w:ilvl w:val="0"/>
          <w:numId w:val="24"/>
        </w:numPr>
        <w:spacing w:before="100" w:beforeAutospacing="1" w:after="100" w:afterAutospacing="1"/>
        <w:rPr>
          <w:szCs w:val="24"/>
          <w:lang w:val="en-IE" w:eastAsia="en-IE"/>
        </w:rPr>
      </w:pPr>
      <w:r w:rsidRPr="00225C0A">
        <w:rPr>
          <w:szCs w:val="24"/>
          <w:lang w:val="en-IE" w:eastAsia="en-IE"/>
        </w:rPr>
        <w:t xml:space="preserve">The </w:t>
      </w:r>
      <w:r w:rsidR="00E94C76">
        <w:rPr>
          <w:szCs w:val="24"/>
          <w:lang w:val="en-IE" w:eastAsia="en-IE"/>
        </w:rPr>
        <w:t xml:space="preserve">strategic action plan 2023-2024 under the national drugs strategy was published in June 2023 </w:t>
      </w:r>
      <w:hyperlink r:id="rId13" w:anchor="page=null" w:history="1">
        <w:r w:rsidR="00E94C76" w:rsidRPr="0091712C">
          <w:rPr>
            <w:rStyle w:val="Hyperlink"/>
            <w:szCs w:val="24"/>
            <w:lang w:val="en-IE" w:eastAsia="en-IE"/>
          </w:rPr>
          <w:t>here</w:t>
        </w:r>
      </w:hyperlink>
      <w:r w:rsidR="00E94C76" w:rsidRPr="00324DB9">
        <w:rPr>
          <w:szCs w:val="24"/>
          <w:lang w:val="en-IE" w:eastAsia="en-IE"/>
        </w:rPr>
        <w:t>.</w:t>
      </w:r>
    </w:p>
    <w:p w14:paraId="0A225399" w14:textId="77777777" w:rsidR="00E94C76" w:rsidRDefault="00E94C76" w:rsidP="00E94C76">
      <w:pPr>
        <w:numPr>
          <w:ilvl w:val="0"/>
          <w:numId w:val="24"/>
        </w:numPr>
        <w:spacing w:before="100" w:beforeAutospacing="1" w:after="100" w:afterAutospacing="1"/>
        <w:rPr>
          <w:szCs w:val="24"/>
          <w:lang w:val="en-IE" w:eastAsia="en-IE"/>
        </w:rPr>
      </w:pPr>
      <w:r>
        <w:rPr>
          <w:szCs w:val="24"/>
          <w:lang w:val="en-IE" w:eastAsia="en-IE"/>
        </w:rPr>
        <w:t>A new</w:t>
      </w:r>
      <w:r w:rsidRPr="00324DB9">
        <w:rPr>
          <w:szCs w:val="24"/>
          <w:lang w:val="en-IE" w:eastAsia="en-IE"/>
        </w:rPr>
        <w:t xml:space="preserve"> action plan</w:t>
      </w:r>
      <w:r>
        <w:rPr>
          <w:szCs w:val="24"/>
          <w:lang w:val="en-IE" w:eastAsia="en-IE"/>
        </w:rPr>
        <w:t xml:space="preserve"> it </w:t>
      </w:r>
      <w:r w:rsidRPr="00324DB9">
        <w:rPr>
          <w:szCs w:val="24"/>
          <w:lang w:val="en-IE" w:eastAsia="en-IE"/>
        </w:rPr>
        <w:t xml:space="preserve">has a total of </w:t>
      </w:r>
      <w:proofErr w:type="gramStart"/>
      <w:r w:rsidRPr="00324DB9">
        <w:rPr>
          <w:szCs w:val="24"/>
          <w:lang w:val="en-IE" w:eastAsia="en-IE"/>
        </w:rPr>
        <w:t>34</w:t>
      </w:r>
      <w:proofErr w:type="gramEnd"/>
      <w:r w:rsidRPr="00324DB9">
        <w:rPr>
          <w:szCs w:val="24"/>
          <w:lang w:val="en-IE" w:eastAsia="en-IE"/>
        </w:rPr>
        <w:t xml:space="preserve"> actions, aligned to </w:t>
      </w:r>
      <w:r>
        <w:rPr>
          <w:szCs w:val="24"/>
          <w:lang w:val="en-IE" w:eastAsia="en-IE"/>
        </w:rPr>
        <w:t>the 6</w:t>
      </w:r>
      <w:r w:rsidRPr="00324DB9">
        <w:rPr>
          <w:szCs w:val="24"/>
          <w:lang w:val="en-IE" w:eastAsia="en-IE"/>
        </w:rPr>
        <w:t xml:space="preserve"> strategic priorit</w:t>
      </w:r>
      <w:r>
        <w:rPr>
          <w:szCs w:val="24"/>
          <w:lang w:val="en-IE" w:eastAsia="en-IE"/>
        </w:rPr>
        <w:t xml:space="preserve">ies.  </w:t>
      </w:r>
    </w:p>
    <w:p w14:paraId="4F3C953C" w14:textId="77777777" w:rsidR="00E94C76" w:rsidRDefault="00E94C76" w:rsidP="00E94C76">
      <w:pPr>
        <w:numPr>
          <w:ilvl w:val="0"/>
          <w:numId w:val="24"/>
        </w:numPr>
        <w:spacing w:before="100" w:beforeAutospacing="1" w:after="100" w:afterAutospacing="1"/>
        <w:rPr>
          <w:szCs w:val="24"/>
          <w:lang w:val="en-IE" w:eastAsia="en-IE"/>
        </w:rPr>
      </w:pPr>
      <w:r>
        <w:rPr>
          <w:szCs w:val="24"/>
          <w:lang w:val="en-IE" w:eastAsia="en-IE"/>
        </w:rPr>
        <w:t xml:space="preserve">It </w:t>
      </w:r>
      <w:proofErr w:type="gramStart"/>
      <w:r>
        <w:rPr>
          <w:szCs w:val="24"/>
          <w:lang w:val="en-IE" w:eastAsia="en-IE"/>
        </w:rPr>
        <w:t xml:space="preserve">was </w:t>
      </w:r>
      <w:r w:rsidRPr="00324DB9">
        <w:rPr>
          <w:szCs w:val="24"/>
          <w:lang w:val="en-IE" w:eastAsia="en-IE"/>
        </w:rPr>
        <w:t>developed</w:t>
      </w:r>
      <w:proofErr w:type="gramEnd"/>
      <w:r w:rsidRPr="00324DB9">
        <w:rPr>
          <w:szCs w:val="24"/>
          <w:lang w:val="en-IE" w:eastAsia="en-IE"/>
        </w:rPr>
        <w:t xml:space="preserve"> by strategic implementation groups reporting to the National Oversight Committee</w:t>
      </w:r>
      <w:r>
        <w:rPr>
          <w:szCs w:val="24"/>
          <w:lang w:val="en-IE" w:eastAsia="en-IE"/>
        </w:rPr>
        <w:t xml:space="preserve">. </w:t>
      </w:r>
    </w:p>
    <w:p w14:paraId="033A04EC" w14:textId="74572BEA" w:rsidR="00E94C76" w:rsidRPr="00E94C76" w:rsidRDefault="00E94C76" w:rsidP="00E94C76">
      <w:pPr>
        <w:numPr>
          <w:ilvl w:val="0"/>
          <w:numId w:val="24"/>
        </w:numPr>
        <w:spacing w:before="100" w:beforeAutospacing="1" w:after="100" w:afterAutospacing="1"/>
        <w:rPr>
          <w:szCs w:val="24"/>
          <w:lang w:val="en-IE" w:eastAsia="en-IE"/>
        </w:rPr>
      </w:pPr>
      <w:r>
        <w:t>The membership of the groups comprised of representatives from Government departments and agencies, drug and alcohol taskforces and civil society, with an independent chairperson</w:t>
      </w:r>
    </w:p>
    <w:p w14:paraId="72BED146" w14:textId="6EDF5F3E" w:rsidR="00E94C76" w:rsidRPr="00820D67" w:rsidRDefault="00E94C76" w:rsidP="00E94C76">
      <w:pPr>
        <w:numPr>
          <w:ilvl w:val="0"/>
          <w:numId w:val="24"/>
        </w:numPr>
        <w:spacing w:before="100" w:beforeAutospacing="1" w:after="100" w:afterAutospacing="1"/>
        <w:rPr>
          <w:szCs w:val="24"/>
          <w:lang w:val="en-IE" w:eastAsia="en-IE"/>
        </w:rPr>
      </w:pPr>
      <w:r>
        <w:t xml:space="preserve">To further support the implementation of the </w:t>
      </w:r>
      <w:r w:rsidR="00820D67">
        <w:t>NDS</w:t>
      </w:r>
      <w:r>
        <w:t xml:space="preserve">, the Department of Health </w:t>
      </w:r>
      <w:r w:rsidR="00820D67">
        <w:t xml:space="preserve">initiative an </w:t>
      </w:r>
      <w:r>
        <w:t xml:space="preserve">audit drug and alcohol services, </w:t>
      </w:r>
      <w:r w:rsidR="00820D67">
        <w:t xml:space="preserve">to </w:t>
      </w:r>
      <w:r>
        <w:t>includ</w:t>
      </w:r>
      <w:r w:rsidR="00820D67">
        <w:t>e</w:t>
      </w:r>
      <w:r>
        <w:t xml:space="preserve"> a map of existing services.</w:t>
      </w:r>
    </w:p>
    <w:p w14:paraId="713F1E71" w14:textId="33D0C9C9" w:rsidR="00820D67" w:rsidRPr="00820D67" w:rsidRDefault="00B80190" w:rsidP="00820D67">
      <w:pPr>
        <w:pStyle w:val="ListParagraph"/>
        <w:numPr>
          <w:ilvl w:val="0"/>
          <w:numId w:val="24"/>
        </w:numPr>
        <w:spacing w:before="100" w:beforeAutospacing="1" w:after="100" w:afterAutospacing="1"/>
        <w:rPr>
          <w:szCs w:val="24"/>
          <w:lang w:val="en-IE" w:eastAsia="en-IE"/>
        </w:rPr>
      </w:pPr>
      <w:r>
        <w:rPr>
          <w:szCs w:val="24"/>
          <w:lang w:val="en-IE" w:eastAsia="en-IE"/>
        </w:rPr>
        <w:t>Progress on i</w:t>
      </w:r>
      <w:r w:rsidR="00820D67" w:rsidRPr="00415036">
        <w:rPr>
          <w:szCs w:val="24"/>
          <w:lang w:val="en-IE" w:eastAsia="en-IE"/>
        </w:rPr>
        <w:t xml:space="preserve">mplementation of the actions is reported on a quarterly basis, updates can be viewed </w:t>
      </w:r>
      <w:hyperlink r:id="rId14" w:anchor="reporting-on-strategic-action-plan-2023-2024" w:history="1">
        <w:r w:rsidR="00820D67" w:rsidRPr="00415036">
          <w:rPr>
            <w:rStyle w:val="Hyperlink"/>
            <w:szCs w:val="24"/>
            <w:lang w:val="en-IE" w:eastAsia="en-IE"/>
          </w:rPr>
          <w:t>here</w:t>
        </w:r>
      </w:hyperlink>
      <w:r w:rsidR="00820D67" w:rsidRPr="00415036">
        <w:rPr>
          <w:szCs w:val="24"/>
          <w:lang w:val="en-IE" w:eastAsia="en-IE"/>
        </w:rPr>
        <w:t xml:space="preserve">. </w:t>
      </w:r>
    </w:p>
    <w:p w14:paraId="157F9B5A" w14:textId="7E609BDE" w:rsidR="00AC600F" w:rsidRDefault="00B30413" w:rsidP="00AC600F">
      <w:pPr>
        <w:spacing w:before="100" w:beforeAutospacing="1" w:after="100" w:afterAutospacing="1"/>
        <w:rPr>
          <w:b/>
          <w:bCs/>
          <w:szCs w:val="24"/>
          <w:lang w:val="en-IE" w:eastAsia="en-IE"/>
        </w:rPr>
      </w:pPr>
      <w:r>
        <w:rPr>
          <w:b/>
          <w:bCs/>
          <w:szCs w:val="24"/>
          <w:lang w:val="en-IE" w:eastAsia="en-IE"/>
        </w:rPr>
        <w:t>Governance s</w:t>
      </w:r>
      <w:r w:rsidR="00AC600F" w:rsidRPr="00AC600F">
        <w:rPr>
          <w:b/>
          <w:bCs/>
          <w:szCs w:val="24"/>
          <w:lang w:val="en-IE" w:eastAsia="en-IE"/>
        </w:rPr>
        <w:t xml:space="preserve">tructures </w:t>
      </w:r>
      <w:r w:rsidR="00820D67">
        <w:rPr>
          <w:b/>
          <w:bCs/>
          <w:szCs w:val="24"/>
          <w:lang w:val="en-IE" w:eastAsia="en-IE"/>
        </w:rPr>
        <w:t xml:space="preserve">for the </w:t>
      </w:r>
      <w:r>
        <w:rPr>
          <w:b/>
          <w:bCs/>
          <w:szCs w:val="24"/>
          <w:lang w:val="en-IE" w:eastAsia="en-IE"/>
        </w:rPr>
        <w:t>national drugs strategy</w:t>
      </w:r>
      <w:r w:rsidR="009904C9">
        <w:rPr>
          <w:b/>
          <w:bCs/>
          <w:szCs w:val="24"/>
          <w:lang w:val="en-IE" w:eastAsia="en-IE"/>
        </w:rPr>
        <w:t xml:space="preserve"> </w:t>
      </w:r>
    </w:p>
    <w:p w14:paraId="2126027A" w14:textId="77777777" w:rsidR="00213B25" w:rsidRDefault="00213B25" w:rsidP="004E18F3">
      <w:pPr>
        <w:pStyle w:val="ListParagraph"/>
        <w:numPr>
          <w:ilvl w:val="0"/>
          <w:numId w:val="36"/>
        </w:numPr>
        <w:spacing w:before="100" w:beforeAutospacing="1" w:after="100" w:afterAutospacing="1"/>
        <w:rPr>
          <w:szCs w:val="24"/>
          <w:lang w:val="en-IE" w:eastAsia="en-IE"/>
        </w:rPr>
      </w:pPr>
      <w:r>
        <w:rPr>
          <w:szCs w:val="24"/>
          <w:lang w:val="en-IE" w:eastAsia="en-IE"/>
        </w:rPr>
        <w:t xml:space="preserve">The </w:t>
      </w:r>
      <w:hyperlink r:id="rId15" w:history="1">
        <w:r w:rsidRPr="00213B25">
          <w:rPr>
            <w:color w:val="0000FF"/>
            <w:u w:val="single"/>
          </w:rPr>
          <w:t xml:space="preserve">National Oversight Committee </w:t>
        </w:r>
      </w:hyperlink>
      <w:r w:rsidRPr="00213B25">
        <w:rPr>
          <w:color w:val="000000"/>
          <w:sz w:val="22"/>
          <w:szCs w:val="22"/>
          <w:shd w:val="clear" w:color="auto" w:fill="FFFFFF"/>
        </w:rPr>
        <w:t>meets quarterly to give leadership and direction to support implementation of the national drugs strategy</w:t>
      </w:r>
      <w:r>
        <w:rPr>
          <w:color w:val="000000"/>
          <w:sz w:val="22"/>
          <w:szCs w:val="22"/>
          <w:shd w:val="clear" w:color="auto" w:fill="FFFFFF"/>
        </w:rPr>
        <w:t xml:space="preserve">. The committee is </w:t>
      </w:r>
      <w:r w:rsidR="00DA1D0E" w:rsidRPr="00213B25">
        <w:rPr>
          <w:szCs w:val="24"/>
          <w:lang w:val="en-IE" w:eastAsia="en-IE"/>
        </w:rPr>
        <w:t>chaired by the Minister for State with responsibility for the National Drugs Strategy</w:t>
      </w:r>
      <w:r w:rsidR="000621B4" w:rsidRPr="00213B25">
        <w:rPr>
          <w:szCs w:val="24"/>
          <w:lang w:val="en-IE" w:eastAsia="en-IE"/>
        </w:rPr>
        <w:t xml:space="preserve">. </w:t>
      </w:r>
    </w:p>
    <w:p w14:paraId="518FB494" w14:textId="10AEE8CF" w:rsidR="00DA1D0E" w:rsidRPr="00213B25" w:rsidRDefault="00DA1D0E" w:rsidP="004E18F3">
      <w:pPr>
        <w:pStyle w:val="ListParagraph"/>
        <w:numPr>
          <w:ilvl w:val="0"/>
          <w:numId w:val="36"/>
        </w:numPr>
        <w:spacing w:before="100" w:beforeAutospacing="1" w:after="100" w:afterAutospacing="1"/>
        <w:rPr>
          <w:szCs w:val="24"/>
          <w:lang w:val="en-IE" w:eastAsia="en-IE"/>
        </w:rPr>
      </w:pPr>
      <w:r w:rsidRPr="00213B25">
        <w:rPr>
          <w:szCs w:val="24"/>
          <w:lang w:val="en-IE" w:eastAsia="en-IE"/>
        </w:rPr>
        <w:t xml:space="preserve">This committee’s </w:t>
      </w:r>
      <w:proofErr w:type="gramStart"/>
      <w:r w:rsidRPr="00213B25">
        <w:rPr>
          <w:szCs w:val="24"/>
          <w:lang w:val="en-IE" w:eastAsia="en-IE"/>
        </w:rPr>
        <w:t>responsibilities include</w:t>
      </w:r>
      <w:proofErr w:type="gramEnd"/>
      <w:r w:rsidRPr="00213B25">
        <w:rPr>
          <w:szCs w:val="24"/>
          <w:lang w:val="en-IE" w:eastAsia="en-IE"/>
        </w:rPr>
        <w:t xml:space="preserve">: </w:t>
      </w:r>
    </w:p>
    <w:p w14:paraId="110F85D5" w14:textId="77777777" w:rsidR="00DA1D0E" w:rsidRPr="00DA1D0E" w:rsidRDefault="00DA1D0E" w:rsidP="00415036">
      <w:pPr>
        <w:numPr>
          <w:ilvl w:val="1"/>
          <w:numId w:val="36"/>
        </w:numPr>
        <w:spacing w:before="100" w:beforeAutospacing="1" w:after="100" w:afterAutospacing="1"/>
        <w:rPr>
          <w:szCs w:val="24"/>
          <w:lang w:val="en-IE" w:eastAsia="en-IE"/>
        </w:rPr>
      </w:pPr>
      <w:r w:rsidRPr="00DA1D0E">
        <w:rPr>
          <w:szCs w:val="24"/>
          <w:lang w:val="en-IE" w:eastAsia="en-IE"/>
        </w:rPr>
        <w:t xml:space="preserve">to give leadership, policy direction, </w:t>
      </w:r>
      <w:proofErr w:type="gramStart"/>
      <w:r w:rsidRPr="00DA1D0E">
        <w:rPr>
          <w:szCs w:val="24"/>
          <w:lang w:val="en-IE" w:eastAsia="en-IE"/>
        </w:rPr>
        <w:t>prioritisation</w:t>
      </w:r>
      <w:proofErr w:type="gramEnd"/>
      <w:r w:rsidRPr="00DA1D0E">
        <w:rPr>
          <w:szCs w:val="24"/>
          <w:lang w:val="en-IE" w:eastAsia="en-IE"/>
        </w:rPr>
        <w:t xml:space="preserve"> and mobilisation of resources to support the strategic implementation groups.</w:t>
      </w:r>
    </w:p>
    <w:p w14:paraId="1B8DFDB8" w14:textId="77777777" w:rsidR="00DA1D0E" w:rsidRPr="00DA1D0E" w:rsidRDefault="00DA1D0E" w:rsidP="00415036">
      <w:pPr>
        <w:numPr>
          <w:ilvl w:val="1"/>
          <w:numId w:val="36"/>
        </w:numPr>
        <w:spacing w:before="100" w:beforeAutospacing="1" w:after="100" w:afterAutospacing="1"/>
        <w:rPr>
          <w:szCs w:val="24"/>
          <w:lang w:val="en-IE" w:eastAsia="en-IE"/>
        </w:rPr>
      </w:pPr>
      <w:r w:rsidRPr="00DA1D0E">
        <w:rPr>
          <w:szCs w:val="24"/>
          <w:lang w:val="en-IE" w:eastAsia="en-IE"/>
        </w:rPr>
        <w:t xml:space="preserve">to measure performance </w:t>
      </w:r>
      <w:proofErr w:type="gramStart"/>
      <w:r w:rsidRPr="00DA1D0E">
        <w:rPr>
          <w:szCs w:val="24"/>
          <w:lang w:val="en-IE" w:eastAsia="en-IE"/>
        </w:rPr>
        <w:t>in order to</w:t>
      </w:r>
      <w:proofErr w:type="gramEnd"/>
      <w:r w:rsidRPr="00DA1D0E">
        <w:rPr>
          <w:szCs w:val="24"/>
          <w:lang w:val="en-IE" w:eastAsia="en-IE"/>
        </w:rPr>
        <w:t xml:space="preserve"> strengthen the delivery of drugs initiatives and to improve the impact on the drug problem.</w:t>
      </w:r>
    </w:p>
    <w:p w14:paraId="314B3E4E" w14:textId="77777777" w:rsidR="00DA1D0E" w:rsidRPr="00DA1D0E" w:rsidRDefault="00DA1D0E" w:rsidP="00415036">
      <w:pPr>
        <w:numPr>
          <w:ilvl w:val="1"/>
          <w:numId w:val="36"/>
        </w:numPr>
        <w:spacing w:before="100" w:beforeAutospacing="1" w:after="100" w:afterAutospacing="1"/>
        <w:rPr>
          <w:szCs w:val="24"/>
          <w:lang w:val="en-IE" w:eastAsia="en-IE"/>
        </w:rPr>
      </w:pPr>
      <w:r w:rsidRPr="00DA1D0E">
        <w:rPr>
          <w:szCs w:val="24"/>
          <w:lang w:val="en-IE" w:eastAsia="en-IE"/>
        </w:rPr>
        <w:t>to monitor the drugs situation and ensure that the lessons drawn from evidence and good practice inform the development of policy and initiatives to address the drug problem oversee.</w:t>
      </w:r>
    </w:p>
    <w:p w14:paraId="2EA21499" w14:textId="77777777" w:rsidR="00DA1D0E" w:rsidRPr="00DA1D0E" w:rsidRDefault="00DA1D0E" w:rsidP="00415036">
      <w:pPr>
        <w:numPr>
          <w:ilvl w:val="1"/>
          <w:numId w:val="36"/>
        </w:numPr>
        <w:spacing w:before="100" w:beforeAutospacing="1" w:after="100" w:afterAutospacing="1"/>
        <w:rPr>
          <w:szCs w:val="24"/>
          <w:lang w:val="en-IE" w:eastAsia="en-IE"/>
        </w:rPr>
      </w:pPr>
      <w:r w:rsidRPr="00DA1D0E">
        <w:rPr>
          <w:szCs w:val="24"/>
          <w:lang w:val="en-IE" w:eastAsia="en-IE"/>
        </w:rPr>
        <w:t>to ensure good governance and accountability by all partners involved in the implementation of the National Drugs Strategy</w:t>
      </w:r>
    </w:p>
    <w:p w14:paraId="2B02982A" w14:textId="16A63DF9" w:rsidR="00146A09" w:rsidRDefault="00DA1D0E" w:rsidP="007943E8">
      <w:pPr>
        <w:numPr>
          <w:ilvl w:val="1"/>
          <w:numId w:val="36"/>
        </w:numPr>
        <w:spacing w:before="100" w:beforeAutospacing="1" w:after="100" w:afterAutospacing="1"/>
        <w:rPr>
          <w:szCs w:val="24"/>
          <w:lang w:val="en-IE" w:eastAsia="en-IE"/>
        </w:rPr>
      </w:pPr>
      <w:r w:rsidRPr="00DA1D0E">
        <w:rPr>
          <w:szCs w:val="24"/>
          <w:lang w:val="en-IE" w:eastAsia="en-IE"/>
        </w:rPr>
        <w:t>to oversee early warning and emerging needs and research sub-committees</w:t>
      </w:r>
    </w:p>
    <w:p w14:paraId="73956DDE" w14:textId="77777777" w:rsidR="007943E8" w:rsidRPr="007943E8" w:rsidRDefault="007943E8" w:rsidP="007943E8">
      <w:pPr>
        <w:spacing w:before="100" w:beforeAutospacing="1" w:after="100" w:afterAutospacing="1"/>
        <w:ind w:left="1080"/>
        <w:rPr>
          <w:szCs w:val="24"/>
          <w:lang w:val="en-IE" w:eastAsia="en-IE"/>
        </w:rPr>
      </w:pPr>
    </w:p>
    <w:p w14:paraId="7C70ABE3" w14:textId="2499CE53" w:rsidR="00146A09" w:rsidRPr="00146A09" w:rsidRDefault="00146A09" w:rsidP="00415036">
      <w:pPr>
        <w:pStyle w:val="ListParagraph"/>
        <w:numPr>
          <w:ilvl w:val="0"/>
          <w:numId w:val="36"/>
        </w:numPr>
        <w:spacing w:before="100" w:beforeAutospacing="1" w:after="100" w:afterAutospacing="1"/>
        <w:rPr>
          <w:szCs w:val="24"/>
          <w:lang w:val="en-IE" w:eastAsia="en-IE"/>
        </w:rPr>
      </w:pPr>
      <w:r>
        <w:t>Six strategic implementation groups (SIGs) report to the national oversight committee. The membership of the groups comprised of representatives from Government departments and agencies, drug and alcohol taskforces and civil society, with an independent chairperson. The chairs are members of the NOC.</w:t>
      </w:r>
    </w:p>
    <w:p w14:paraId="21A92DE9" w14:textId="77777777" w:rsidR="00146A09" w:rsidRPr="00146A09" w:rsidRDefault="00DA1D0E" w:rsidP="00146A09">
      <w:pPr>
        <w:pStyle w:val="ListParagraph"/>
        <w:numPr>
          <w:ilvl w:val="0"/>
          <w:numId w:val="36"/>
        </w:numPr>
        <w:spacing w:before="100" w:beforeAutospacing="1" w:after="100" w:afterAutospacing="1"/>
        <w:rPr>
          <w:szCs w:val="24"/>
          <w:lang w:val="en-IE" w:eastAsia="en-IE"/>
        </w:rPr>
      </w:pPr>
      <w:r w:rsidRPr="00415036">
        <w:rPr>
          <w:szCs w:val="24"/>
          <w:lang w:eastAsia="en-IE"/>
        </w:rPr>
        <w:t xml:space="preserve">Independent leadership has been provided to ensure the accountability of all stakeholders. These independent chairs were appointed to bring impartiality, insight and experience in addressing the challenges of drug and alcohol use. </w:t>
      </w:r>
    </w:p>
    <w:p w14:paraId="4BC2B416" w14:textId="565A62DD" w:rsidR="00DA1D0E" w:rsidRPr="00D701B0" w:rsidRDefault="00146A09" w:rsidP="00146A09">
      <w:pPr>
        <w:pStyle w:val="ListParagraph"/>
        <w:numPr>
          <w:ilvl w:val="0"/>
          <w:numId w:val="36"/>
        </w:numPr>
        <w:spacing w:before="100" w:beforeAutospacing="1" w:after="100" w:afterAutospacing="1"/>
        <w:rPr>
          <w:szCs w:val="24"/>
          <w:lang w:val="en-IE" w:eastAsia="en-IE"/>
        </w:rPr>
      </w:pPr>
      <w:r w:rsidRPr="00415036">
        <w:rPr>
          <w:szCs w:val="24"/>
          <w:lang w:eastAsia="en-IE"/>
        </w:rPr>
        <w:lastRenderedPageBreak/>
        <w:t xml:space="preserve">The </w:t>
      </w:r>
      <w:r>
        <w:rPr>
          <w:szCs w:val="24"/>
          <w:lang w:eastAsia="en-IE"/>
        </w:rPr>
        <w:t xml:space="preserve">SIGs </w:t>
      </w:r>
      <w:r w:rsidRPr="00415036">
        <w:rPr>
          <w:szCs w:val="24"/>
          <w:lang w:eastAsia="en-IE"/>
        </w:rPr>
        <w:t xml:space="preserve">reflect the partnership approach and give a stronger voice to civil society by broadening and deepening the involvement of community and voluntary groups in the implementation of the strategy. </w:t>
      </w:r>
    </w:p>
    <w:p w14:paraId="45ED9BD7" w14:textId="30EBDA05" w:rsidR="00D701B0" w:rsidRPr="00D701B0" w:rsidRDefault="00D701B0" w:rsidP="00146A09">
      <w:pPr>
        <w:pStyle w:val="ListParagraph"/>
        <w:numPr>
          <w:ilvl w:val="0"/>
          <w:numId w:val="36"/>
        </w:numPr>
        <w:spacing w:before="100" w:beforeAutospacing="1" w:after="100" w:afterAutospacing="1"/>
        <w:rPr>
          <w:szCs w:val="24"/>
          <w:lang w:val="en-IE" w:eastAsia="en-IE"/>
        </w:rPr>
      </w:pPr>
      <w:r>
        <w:rPr>
          <w:szCs w:val="24"/>
          <w:lang w:eastAsia="en-IE"/>
        </w:rPr>
        <w:t xml:space="preserve">The Department of Health provides the secretariat for the NOC. Its remit is to provide objective and informed analysis and advice to the NOC. </w:t>
      </w:r>
    </w:p>
    <w:p w14:paraId="1A503047" w14:textId="27ABA56E" w:rsidR="00D701B0" w:rsidRPr="00D701B0" w:rsidRDefault="00D701B0" w:rsidP="00D701B0">
      <w:pPr>
        <w:pStyle w:val="ListParagraph"/>
        <w:numPr>
          <w:ilvl w:val="0"/>
          <w:numId w:val="36"/>
        </w:numPr>
        <w:spacing w:before="100" w:beforeAutospacing="1" w:after="100" w:afterAutospacing="1"/>
        <w:rPr>
          <w:szCs w:val="24"/>
          <w:lang w:val="en-IE" w:eastAsia="en-IE"/>
        </w:rPr>
      </w:pPr>
      <w:r>
        <w:rPr>
          <w:szCs w:val="24"/>
          <w:lang w:eastAsia="en-IE"/>
        </w:rPr>
        <w:t xml:space="preserve">Government oversight of the national drugs strategy is via the Minister of State for the National Drugs Strategy in the Department of Health. The Minister and the Department report to </w:t>
      </w:r>
      <w:r w:rsidRPr="00D701B0">
        <w:rPr>
          <w:szCs w:val="24"/>
          <w:lang w:eastAsia="en-IE"/>
        </w:rPr>
        <w:t xml:space="preserve">the Cabinet Committee on Social Affairs and Public Services. </w:t>
      </w:r>
    </w:p>
    <w:p w14:paraId="39C974B6" w14:textId="77777777" w:rsidR="00547529" w:rsidRDefault="00547529" w:rsidP="00443406">
      <w:pPr>
        <w:spacing w:before="100" w:beforeAutospacing="1" w:after="100" w:afterAutospacing="1"/>
        <w:rPr>
          <w:b/>
          <w:bCs/>
          <w:szCs w:val="24"/>
          <w:highlight w:val="yellow"/>
          <w:lang w:val="en-IE" w:eastAsia="en-IE"/>
        </w:rPr>
      </w:pPr>
    </w:p>
    <w:p w14:paraId="200EC699" w14:textId="4DFE83CB" w:rsidR="00443406" w:rsidRDefault="00111B33" w:rsidP="00443406">
      <w:pPr>
        <w:spacing w:before="100" w:beforeAutospacing="1" w:after="100" w:afterAutospacing="1"/>
        <w:rPr>
          <w:b/>
          <w:bCs/>
          <w:szCs w:val="24"/>
          <w:lang w:val="en-IE" w:eastAsia="en-IE"/>
        </w:rPr>
      </w:pPr>
      <w:r w:rsidRPr="007943E8">
        <w:rPr>
          <w:b/>
          <w:bCs/>
          <w:szCs w:val="24"/>
          <w:lang w:val="en-IE" w:eastAsia="en-IE"/>
        </w:rPr>
        <w:t>Expenditure on the national drugs strategy</w:t>
      </w:r>
    </w:p>
    <w:p w14:paraId="3266F7AF" w14:textId="0A63542D" w:rsidR="007943E8" w:rsidRPr="007943E8" w:rsidRDefault="00111B33" w:rsidP="007943E8">
      <w:pPr>
        <w:pStyle w:val="ListParagraph"/>
        <w:numPr>
          <w:ilvl w:val="0"/>
          <w:numId w:val="39"/>
        </w:numPr>
        <w:spacing w:before="100" w:beforeAutospacing="1" w:after="100" w:afterAutospacing="1"/>
        <w:rPr>
          <w:b/>
          <w:bCs/>
          <w:szCs w:val="24"/>
          <w:lang w:val="en-IE" w:eastAsia="en-IE"/>
        </w:rPr>
      </w:pPr>
      <w:r>
        <w:t xml:space="preserve">There is </w:t>
      </w:r>
      <w:proofErr w:type="gramStart"/>
      <w:r>
        <w:t>no</w:t>
      </w:r>
      <w:proofErr w:type="gramEnd"/>
      <w:r>
        <w:t xml:space="preserve"> centrally held or ring-fenced budget allocated to the national drugs strategy. Instead, delivery of the strategy is funded by individual government departments securing the budget for the activities for which it is responsible and has committed to deliver. Government departments negotiate their budgets as part of the annual budgetary process</w:t>
      </w:r>
      <w:r w:rsidR="007943E8">
        <w:t xml:space="preserve">. </w:t>
      </w:r>
    </w:p>
    <w:p w14:paraId="02099959" w14:textId="23242689" w:rsidR="007943E8" w:rsidRPr="007943E8" w:rsidRDefault="00D07173" w:rsidP="007943E8">
      <w:pPr>
        <w:pStyle w:val="ListParagraph"/>
        <w:numPr>
          <w:ilvl w:val="0"/>
          <w:numId w:val="39"/>
        </w:numPr>
        <w:spacing w:before="100" w:beforeAutospacing="1" w:after="100" w:afterAutospacing="1"/>
        <w:rPr>
          <w:b/>
          <w:bCs/>
          <w:szCs w:val="24"/>
          <w:lang w:val="en-IE" w:eastAsia="en-IE"/>
        </w:rPr>
      </w:pPr>
      <w:r>
        <w:t xml:space="preserve">Expenditure on the strategy includes both </w:t>
      </w:r>
      <w:r w:rsidR="000F7840">
        <w:t xml:space="preserve">labelled </w:t>
      </w:r>
      <w:r>
        <w:t xml:space="preserve">and unlabelled </w:t>
      </w:r>
      <w:r w:rsidR="000F7840">
        <w:t xml:space="preserve">expenditure. </w:t>
      </w:r>
      <w:r>
        <w:t xml:space="preserve">Labelled expenditure </w:t>
      </w:r>
      <w:r w:rsidR="000F7840">
        <w:t>refers to planned spending targeted at drug or alcohol issues (</w:t>
      </w:r>
      <w:r w:rsidR="00CC55E9">
        <w:t>e.g.</w:t>
      </w:r>
      <w:r w:rsidR="000F7840">
        <w:t xml:space="preserve"> treatment of addiction), usually reported as such in public accounts.</w:t>
      </w:r>
    </w:p>
    <w:p w14:paraId="3F1A394A" w14:textId="79BDD10B" w:rsidR="003E06BE" w:rsidRPr="007943E8" w:rsidRDefault="000F7840" w:rsidP="007943E8">
      <w:pPr>
        <w:pStyle w:val="ListParagraph"/>
        <w:numPr>
          <w:ilvl w:val="0"/>
          <w:numId w:val="39"/>
        </w:numPr>
        <w:spacing w:before="100" w:beforeAutospacing="1" w:after="100" w:afterAutospacing="1"/>
        <w:rPr>
          <w:b/>
          <w:bCs/>
          <w:szCs w:val="24"/>
          <w:lang w:val="en-IE" w:eastAsia="en-IE"/>
        </w:rPr>
      </w:pPr>
      <w:r>
        <w:t xml:space="preserve">Data on labelled expenditure is </w:t>
      </w:r>
      <w:r w:rsidR="002C0691">
        <w:t xml:space="preserve">reported by </w:t>
      </w:r>
      <w:r>
        <w:t>the</w:t>
      </w:r>
      <w:r w:rsidR="00111B33">
        <w:t xml:space="preserve"> </w:t>
      </w:r>
      <w:r w:rsidR="002C0691">
        <w:t>Health Research Board in</w:t>
      </w:r>
      <w:r w:rsidR="003E06BE">
        <w:t xml:space="preserve"> the </w:t>
      </w:r>
      <w:hyperlink r:id="rId16" w:history="1">
        <w:r w:rsidR="003E06BE" w:rsidRPr="007943E8">
          <w:rPr>
            <w:color w:val="0000FF"/>
            <w:u w:val="single"/>
          </w:rPr>
          <w:t>Annual report on the drugs situation</w:t>
        </w:r>
      </w:hyperlink>
      <w:r w:rsidR="003E06BE">
        <w:t xml:space="preserve"> in Ireland</w:t>
      </w:r>
      <w:r w:rsidR="002C0691">
        <w:t xml:space="preserve">, using </w:t>
      </w:r>
      <w:r w:rsidR="003E06BE" w:rsidRPr="007943E8">
        <w:rPr>
          <w:color w:val="000000"/>
          <w:szCs w:val="24"/>
          <w:shd w:val="clear" w:color="auto" w:fill="FFFFFF"/>
        </w:rPr>
        <w:t>common data-collection standards and tools</w:t>
      </w:r>
      <w:r w:rsidR="00330E05" w:rsidRPr="007943E8">
        <w:rPr>
          <w:color w:val="000000"/>
          <w:szCs w:val="24"/>
          <w:shd w:val="clear" w:color="auto" w:fill="FFFFFF"/>
        </w:rPr>
        <w:t>, as determined by the EU Drugs Agency (see below)</w:t>
      </w:r>
      <w:r w:rsidR="003E06BE" w:rsidRPr="007943E8">
        <w:rPr>
          <w:color w:val="000000"/>
          <w:szCs w:val="24"/>
          <w:shd w:val="clear" w:color="auto" w:fill="FFFFFF"/>
        </w:rPr>
        <w:t xml:space="preserve">. </w:t>
      </w:r>
      <w:r w:rsidR="009D0340">
        <w:t>Total labelled expenditure for 2022 was €255 million.</w:t>
      </w:r>
    </w:p>
    <w:p w14:paraId="2DF58E9E" w14:textId="7F91FD2C" w:rsidR="003F19F6" w:rsidRPr="00B70A48" w:rsidRDefault="003F19F6" w:rsidP="003F19F6">
      <w:pPr>
        <w:pStyle w:val="ListParagraph"/>
        <w:numPr>
          <w:ilvl w:val="0"/>
          <w:numId w:val="39"/>
        </w:numPr>
        <w:spacing w:before="100" w:beforeAutospacing="1" w:after="100" w:afterAutospacing="1"/>
        <w:rPr>
          <w:b/>
          <w:bCs/>
          <w:szCs w:val="24"/>
          <w:lang w:val="en-IE" w:eastAsia="en-IE"/>
        </w:rPr>
      </w:pPr>
      <w:r>
        <w:rPr>
          <w:color w:val="000000"/>
          <w:szCs w:val="24"/>
          <w:shd w:val="clear" w:color="auto" w:fill="FFFFFF"/>
        </w:rPr>
        <w:t xml:space="preserve">In 2021, </w:t>
      </w:r>
      <w:r w:rsidRPr="00146A09">
        <w:rPr>
          <w:color w:val="000000"/>
          <w:szCs w:val="24"/>
          <w:shd w:val="clear" w:color="auto" w:fill="FFFFFF"/>
        </w:rPr>
        <w:t xml:space="preserve">IGESS staff in the Departments of Health and Public Expenditure and Reform </w:t>
      </w:r>
      <w:r>
        <w:rPr>
          <w:color w:val="000000"/>
          <w:szCs w:val="24"/>
          <w:shd w:val="clear" w:color="auto" w:fill="FFFFFF"/>
        </w:rPr>
        <w:t>published a</w:t>
      </w:r>
      <w:hyperlink r:id="rId17" w:anchor="page=null" w:history="1">
        <w:r w:rsidRPr="00146A09">
          <w:rPr>
            <w:color w:val="0000FF"/>
            <w:u w:val="single"/>
          </w:rPr>
          <w:t xml:space="preserve"> focused policy assessment</w:t>
        </w:r>
      </w:hyperlink>
      <w:r>
        <w:t xml:space="preserve"> of </w:t>
      </w:r>
      <w:r w:rsidR="00D07173">
        <w:t xml:space="preserve">expenditure on </w:t>
      </w:r>
      <w:r>
        <w:t>the national drugs strategy</w:t>
      </w:r>
      <w:r w:rsidRPr="00146A09">
        <w:rPr>
          <w:color w:val="000000"/>
          <w:szCs w:val="24"/>
          <w:shd w:val="clear" w:color="auto" w:fill="FFFFFF"/>
        </w:rPr>
        <w:t xml:space="preserve">. </w:t>
      </w:r>
    </w:p>
    <w:p w14:paraId="406D2242" w14:textId="2B08CF92" w:rsidR="003F19F6" w:rsidRPr="009D0340" w:rsidRDefault="003F19F6" w:rsidP="003F19F6">
      <w:pPr>
        <w:pStyle w:val="ListParagraph"/>
        <w:numPr>
          <w:ilvl w:val="0"/>
          <w:numId w:val="39"/>
        </w:numPr>
        <w:spacing w:before="100" w:beforeAutospacing="1" w:after="100" w:afterAutospacing="1"/>
        <w:rPr>
          <w:b/>
          <w:bCs/>
          <w:szCs w:val="24"/>
          <w:lang w:val="en-IE" w:eastAsia="en-IE"/>
        </w:rPr>
      </w:pPr>
      <w:r>
        <w:rPr>
          <w:color w:val="000000"/>
          <w:szCs w:val="24"/>
          <w:shd w:val="clear" w:color="auto" w:fill="FFFFFF"/>
        </w:rPr>
        <w:t xml:space="preserve">The report </w:t>
      </w:r>
      <w:r w:rsidRPr="00146A09">
        <w:rPr>
          <w:color w:val="000000"/>
          <w:szCs w:val="24"/>
          <w:shd w:val="clear" w:color="auto" w:fill="FFFFFF"/>
        </w:rPr>
        <w:t>profiles labelled drug expenditure, characterises for the first-time unlabelled expenditure on drugs, including lost productivity costs due to drug use, and assesses the performance of the strategy</w:t>
      </w:r>
      <w:r w:rsidR="00D07173">
        <w:t xml:space="preserve"> in terms of inputs, outputs and outcomes.</w:t>
      </w:r>
    </w:p>
    <w:p w14:paraId="458B6981" w14:textId="36A267B9" w:rsidR="00035BF0" w:rsidRPr="007943E8" w:rsidRDefault="009D0340" w:rsidP="00443406">
      <w:pPr>
        <w:pStyle w:val="ListParagraph"/>
        <w:numPr>
          <w:ilvl w:val="0"/>
          <w:numId w:val="39"/>
        </w:numPr>
        <w:spacing w:before="100" w:beforeAutospacing="1" w:after="100" w:afterAutospacing="1"/>
        <w:rPr>
          <w:b/>
          <w:bCs/>
          <w:szCs w:val="24"/>
          <w:lang w:val="en-IE" w:eastAsia="en-IE"/>
        </w:rPr>
      </w:pPr>
      <w:r>
        <w:t>The findings of the report indicate that unlabelled expenditure and productivity costs contribute significantly to the overall economic burden of problem drug and alcohol use</w:t>
      </w:r>
      <w:r w:rsidR="00DB3D66">
        <w:t xml:space="preserve"> and are </w:t>
      </w:r>
      <w:r>
        <w:t xml:space="preserve">an important component (alongside labelled expenditure) of any examination of the value of policies to address </w:t>
      </w:r>
      <w:r w:rsidR="00D1064B">
        <w:t xml:space="preserve">problematic </w:t>
      </w:r>
      <w:r>
        <w:t>drug and alcohol use.</w:t>
      </w:r>
    </w:p>
    <w:p w14:paraId="5084EFB3" w14:textId="34187455" w:rsidR="00617794" w:rsidRDefault="00617794" w:rsidP="00443406">
      <w:pPr>
        <w:spacing w:before="100" w:beforeAutospacing="1" w:after="100" w:afterAutospacing="1"/>
        <w:rPr>
          <w:b/>
          <w:bCs/>
          <w:szCs w:val="24"/>
          <w:lang w:val="en-IE" w:eastAsia="en-IE"/>
        </w:rPr>
      </w:pPr>
      <w:r>
        <w:rPr>
          <w:b/>
          <w:bCs/>
          <w:szCs w:val="24"/>
          <w:lang w:val="en-IE" w:eastAsia="en-IE"/>
        </w:rPr>
        <w:t xml:space="preserve">EU Drugs Strategy and Action Plan </w:t>
      </w:r>
    </w:p>
    <w:p w14:paraId="0F78818B" w14:textId="2BE14AB1" w:rsidR="00617794" w:rsidRDefault="007F1990" w:rsidP="00617794">
      <w:pPr>
        <w:numPr>
          <w:ilvl w:val="0"/>
          <w:numId w:val="34"/>
        </w:numPr>
        <w:spacing w:before="100" w:beforeAutospacing="1" w:after="100" w:afterAutospacing="1"/>
        <w:ind w:left="360"/>
        <w:rPr>
          <w:szCs w:val="24"/>
          <w:lang w:val="en-IE" w:eastAsia="en-IE"/>
        </w:rPr>
      </w:pPr>
      <w:r>
        <w:rPr>
          <w:szCs w:val="24"/>
          <w:lang w:val="en-IE" w:eastAsia="en-IE"/>
        </w:rPr>
        <w:t xml:space="preserve">Ireland, through its membership of </w:t>
      </w:r>
      <w:r w:rsidR="00617794" w:rsidRPr="00044B62">
        <w:rPr>
          <w:szCs w:val="24"/>
          <w:lang w:val="en-IE" w:eastAsia="en-IE"/>
        </w:rPr>
        <w:t xml:space="preserve">the European Union, </w:t>
      </w:r>
      <w:proofErr w:type="gramStart"/>
      <w:r>
        <w:rPr>
          <w:szCs w:val="24"/>
          <w:lang w:val="en-IE" w:eastAsia="en-IE"/>
        </w:rPr>
        <w:t>works</w:t>
      </w:r>
      <w:proofErr w:type="gramEnd"/>
      <w:r>
        <w:rPr>
          <w:szCs w:val="24"/>
          <w:lang w:val="en-IE" w:eastAsia="en-IE"/>
        </w:rPr>
        <w:t xml:space="preserve"> with other </w:t>
      </w:r>
      <w:r w:rsidR="00617794" w:rsidRPr="00044B62">
        <w:rPr>
          <w:szCs w:val="24"/>
          <w:lang w:val="en-IE" w:eastAsia="en-IE"/>
        </w:rPr>
        <w:t xml:space="preserve">member states to implement the EU drugs strategy and action plan. </w:t>
      </w:r>
    </w:p>
    <w:p w14:paraId="1D0E62BA" w14:textId="44DB6DA4" w:rsidR="00617794" w:rsidRDefault="00617794" w:rsidP="003E06BE">
      <w:pPr>
        <w:numPr>
          <w:ilvl w:val="0"/>
          <w:numId w:val="34"/>
        </w:numPr>
        <w:spacing w:before="100" w:beforeAutospacing="1" w:after="100" w:afterAutospacing="1" w:line="259" w:lineRule="auto"/>
        <w:ind w:left="357" w:hanging="357"/>
        <w:rPr>
          <w:szCs w:val="24"/>
          <w:lang w:val="en-IE" w:eastAsia="en-IE"/>
        </w:rPr>
      </w:pPr>
      <w:r>
        <w:rPr>
          <w:szCs w:val="24"/>
          <w:lang w:val="en-IE" w:eastAsia="en-IE"/>
        </w:rPr>
        <w:t>The</w:t>
      </w:r>
      <w:r w:rsidRPr="00685E76">
        <w:rPr>
          <w:szCs w:val="24"/>
          <w:lang w:val="en-IE" w:eastAsia="en-IE"/>
        </w:rPr>
        <w:t xml:space="preserve"> EU Drugs Strategy and Action Plan was prepared and published in 2020/2021 by EU member states</w:t>
      </w:r>
      <w:r w:rsidR="007F1990">
        <w:rPr>
          <w:szCs w:val="24"/>
          <w:lang w:val="en-IE" w:eastAsia="en-IE"/>
        </w:rPr>
        <w:t xml:space="preserve">. Implementation of the strategy is overseen by </w:t>
      </w:r>
      <w:r w:rsidRPr="00685E76">
        <w:rPr>
          <w:szCs w:val="24"/>
          <w:lang w:val="en-IE" w:eastAsia="en-IE"/>
        </w:rPr>
        <w:t xml:space="preserve">the </w:t>
      </w:r>
      <w:hyperlink r:id="rId18" w:anchor=":~:text=The%20Horizontal%20Working%20Party%20on%20Drugs%20(HDG)%20was%20established%20in" w:history="1">
        <w:r w:rsidR="007F1990">
          <w:rPr>
            <w:color w:val="0000FF"/>
            <w:u w:val="single"/>
          </w:rPr>
          <w:t>Horizontal Working Party on Drugs (HDG)</w:t>
        </w:r>
      </w:hyperlink>
      <w:r w:rsidR="007F1990">
        <w:t xml:space="preserve">. </w:t>
      </w:r>
      <w:r w:rsidR="007F1990" w:rsidRPr="003E06BE">
        <w:rPr>
          <w:szCs w:val="24"/>
        </w:rPr>
        <w:t xml:space="preserve">The HDG </w:t>
      </w:r>
      <w:r w:rsidR="007F1990" w:rsidRPr="003E06BE">
        <w:rPr>
          <w:color w:val="3E4951"/>
          <w:szCs w:val="24"/>
        </w:rPr>
        <w:t xml:space="preserve">is responsible for leading and managing the Council of the European Union's work on drugs. It performs both legislative and general policy work in two main areas: drug supply reduction and drug demand reduction. This work </w:t>
      </w:r>
      <w:r w:rsidR="003E06BE">
        <w:rPr>
          <w:color w:val="3E4951"/>
          <w:szCs w:val="24"/>
        </w:rPr>
        <w:t xml:space="preserve">has </w:t>
      </w:r>
      <w:r w:rsidR="007F1990" w:rsidRPr="003E06BE">
        <w:rPr>
          <w:color w:val="3E4951"/>
          <w:szCs w:val="24"/>
        </w:rPr>
        <w:t>three cross-cutting themes: coordination, international cooperation, and research, monitoring and evaluation.</w:t>
      </w:r>
      <w:r w:rsidR="007F1990" w:rsidRPr="007F1990">
        <w:rPr>
          <w:color w:val="3E4951"/>
          <w:sz w:val="22"/>
          <w:szCs w:val="22"/>
        </w:rPr>
        <w:t> </w:t>
      </w:r>
    </w:p>
    <w:p w14:paraId="28A15662" w14:textId="38E73D1D" w:rsidR="00617794" w:rsidRDefault="00617794" w:rsidP="00617794">
      <w:pPr>
        <w:numPr>
          <w:ilvl w:val="0"/>
          <w:numId w:val="34"/>
        </w:numPr>
        <w:spacing w:before="100" w:beforeAutospacing="1" w:after="100" w:afterAutospacing="1"/>
        <w:ind w:left="360"/>
        <w:rPr>
          <w:szCs w:val="24"/>
          <w:lang w:val="en-IE" w:eastAsia="en-IE"/>
        </w:rPr>
      </w:pPr>
      <w:r>
        <w:rPr>
          <w:szCs w:val="24"/>
          <w:lang w:val="en-IE" w:eastAsia="en-IE"/>
        </w:rPr>
        <w:t xml:space="preserve">The EU has established the </w:t>
      </w:r>
      <w:r w:rsidRPr="00044B62">
        <w:rPr>
          <w:szCs w:val="24"/>
          <w:lang w:val="en-IE" w:eastAsia="en-IE"/>
        </w:rPr>
        <w:t>EU Drugs Agency</w:t>
      </w:r>
      <w:r>
        <w:rPr>
          <w:szCs w:val="24"/>
          <w:lang w:val="en-IE" w:eastAsia="en-IE"/>
        </w:rPr>
        <w:t xml:space="preserve"> (formerly the EMCDDA) to support the work of EU member states on drug issues.</w:t>
      </w:r>
      <w:r w:rsidRPr="00044B62">
        <w:rPr>
          <w:szCs w:val="24"/>
          <w:lang w:val="en-IE" w:eastAsia="en-IE"/>
        </w:rPr>
        <w:t xml:space="preserve"> The agency </w:t>
      </w:r>
      <w:r>
        <w:rPr>
          <w:szCs w:val="24"/>
          <w:lang w:val="en-IE" w:eastAsia="en-IE"/>
        </w:rPr>
        <w:t xml:space="preserve">has </w:t>
      </w:r>
      <w:r w:rsidRPr="00044B62">
        <w:rPr>
          <w:szCs w:val="24"/>
          <w:lang w:val="en-IE" w:eastAsia="en-IE"/>
        </w:rPr>
        <w:t>an enhanced mandate to address current and future challenges related to illicit drugs and to develop and promote evidence-based interventions and best practices.</w:t>
      </w:r>
    </w:p>
    <w:p w14:paraId="076375C2" w14:textId="2626C241" w:rsidR="00617794" w:rsidRPr="003E06BE" w:rsidRDefault="00617794" w:rsidP="007A1015">
      <w:pPr>
        <w:numPr>
          <w:ilvl w:val="0"/>
          <w:numId w:val="34"/>
        </w:numPr>
        <w:spacing w:before="100" w:beforeAutospacing="1" w:after="100" w:afterAutospacing="1"/>
        <w:ind w:left="360"/>
        <w:rPr>
          <w:b/>
          <w:bCs/>
          <w:szCs w:val="24"/>
          <w:lang w:val="en-IE" w:eastAsia="en-IE"/>
        </w:rPr>
      </w:pPr>
      <w:r w:rsidRPr="003E06BE">
        <w:rPr>
          <w:color w:val="000000"/>
          <w:szCs w:val="24"/>
          <w:shd w:val="clear" w:color="auto" w:fill="FFFFFF"/>
        </w:rPr>
        <w:lastRenderedPageBreak/>
        <w:t xml:space="preserve">The EU Drugs Agency </w:t>
      </w:r>
      <w:r w:rsidR="00DB3D66">
        <w:rPr>
          <w:color w:val="000000"/>
          <w:szCs w:val="24"/>
          <w:shd w:val="clear" w:color="auto" w:fill="FFFFFF"/>
        </w:rPr>
        <w:t xml:space="preserve">coordinates </w:t>
      </w:r>
      <w:r w:rsidR="000E55BE">
        <w:rPr>
          <w:color w:val="000000"/>
          <w:szCs w:val="24"/>
          <w:shd w:val="clear" w:color="auto" w:fill="FFFFFF"/>
        </w:rPr>
        <w:t>a</w:t>
      </w:r>
      <w:r w:rsidR="00DB3D66">
        <w:rPr>
          <w:color w:val="000000"/>
          <w:szCs w:val="24"/>
          <w:shd w:val="clear" w:color="auto" w:fill="FFFFFF"/>
        </w:rPr>
        <w:t>n</w:t>
      </w:r>
      <w:r w:rsidR="000E55BE">
        <w:rPr>
          <w:color w:val="000000"/>
          <w:szCs w:val="24"/>
          <w:shd w:val="clear" w:color="auto" w:fill="FFFFFF"/>
        </w:rPr>
        <w:t xml:space="preserve"> EU </w:t>
      </w:r>
      <w:r w:rsidR="000E55BE" w:rsidRPr="00DB3D66">
        <w:rPr>
          <w:color w:val="000000"/>
          <w:szCs w:val="24"/>
          <w:shd w:val="clear" w:color="auto" w:fill="FFFFFF"/>
        </w:rPr>
        <w:t xml:space="preserve">network of </w:t>
      </w:r>
      <w:r w:rsidRPr="00DB3D66">
        <w:rPr>
          <w:color w:val="000000"/>
          <w:szCs w:val="24"/>
          <w:shd w:val="clear" w:color="auto" w:fill="FFFFFF"/>
        </w:rPr>
        <w:t>national focal point</w:t>
      </w:r>
      <w:r w:rsidR="000E55BE" w:rsidRPr="00DB3D66">
        <w:rPr>
          <w:color w:val="000000"/>
          <w:szCs w:val="24"/>
          <w:shd w:val="clear" w:color="auto" w:fill="FFFFFF"/>
        </w:rPr>
        <w:t>s</w:t>
      </w:r>
      <w:r w:rsidR="00DB3D66" w:rsidRPr="00DB3D66">
        <w:rPr>
          <w:color w:val="000000"/>
          <w:szCs w:val="24"/>
          <w:shd w:val="clear" w:color="auto" w:fill="FFFFFF"/>
        </w:rPr>
        <w:t>, that act as monitoring centres gathering and analysing drug-related information</w:t>
      </w:r>
      <w:r w:rsidR="00DB3D66">
        <w:rPr>
          <w:color w:val="000000"/>
          <w:szCs w:val="24"/>
          <w:shd w:val="clear" w:color="auto" w:fill="FFFFFF"/>
        </w:rPr>
        <w:t>.</w:t>
      </w:r>
    </w:p>
    <w:p w14:paraId="08A75FDC" w14:textId="5558B777" w:rsidR="00044B62" w:rsidRDefault="00C95C33" w:rsidP="00443406">
      <w:pPr>
        <w:spacing w:before="100" w:beforeAutospacing="1" w:after="100" w:afterAutospacing="1"/>
        <w:rPr>
          <w:b/>
          <w:bCs/>
          <w:szCs w:val="24"/>
          <w:lang w:val="en-IE" w:eastAsia="en-IE"/>
        </w:rPr>
      </w:pPr>
      <w:r>
        <w:rPr>
          <w:b/>
          <w:bCs/>
          <w:szCs w:val="24"/>
          <w:lang w:val="en-IE" w:eastAsia="en-IE"/>
        </w:rPr>
        <w:t xml:space="preserve"> I</w:t>
      </w:r>
      <w:r w:rsidR="00044B62" w:rsidRPr="00044B62">
        <w:rPr>
          <w:b/>
          <w:bCs/>
          <w:szCs w:val="24"/>
          <w:lang w:val="en-IE" w:eastAsia="en-IE"/>
        </w:rPr>
        <w:t xml:space="preserve">nternational </w:t>
      </w:r>
      <w:r w:rsidR="00617794">
        <w:rPr>
          <w:b/>
          <w:bCs/>
          <w:szCs w:val="24"/>
          <w:lang w:val="en-IE" w:eastAsia="en-IE"/>
        </w:rPr>
        <w:t>c</w:t>
      </w:r>
      <w:r w:rsidR="00044B62" w:rsidRPr="00044B62">
        <w:rPr>
          <w:b/>
          <w:bCs/>
          <w:szCs w:val="24"/>
          <w:lang w:val="en-IE" w:eastAsia="en-IE"/>
        </w:rPr>
        <w:t xml:space="preserve">ooperation </w:t>
      </w:r>
      <w:r w:rsidR="00617794">
        <w:rPr>
          <w:b/>
          <w:bCs/>
          <w:szCs w:val="24"/>
          <w:lang w:val="en-IE" w:eastAsia="en-IE"/>
        </w:rPr>
        <w:t>on drugs</w:t>
      </w:r>
    </w:p>
    <w:p w14:paraId="4257489D" w14:textId="4E503652" w:rsidR="00044B62" w:rsidRPr="00044B62" w:rsidRDefault="00044B62" w:rsidP="00044B62">
      <w:pPr>
        <w:numPr>
          <w:ilvl w:val="0"/>
          <w:numId w:val="34"/>
        </w:numPr>
        <w:spacing w:before="100" w:beforeAutospacing="1" w:after="100" w:afterAutospacing="1"/>
        <w:ind w:left="360"/>
        <w:rPr>
          <w:szCs w:val="24"/>
          <w:lang w:val="en-IE" w:eastAsia="en-IE"/>
        </w:rPr>
      </w:pPr>
      <w:r w:rsidRPr="00044B62">
        <w:rPr>
          <w:szCs w:val="24"/>
          <w:lang w:val="en-IE" w:eastAsia="en-IE"/>
        </w:rPr>
        <w:t xml:space="preserve">Ireland participates in </w:t>
      </w:r>
      <w:r w:rsidR="00617794">
        <w:rPr>
          <w:szCs w:val="24"/>
          <w:lang w:val="en-IE" w:eastAsia="en-IE"/>
        </w:rPr>
        <w:t xml:space="preserve">structures for </w:t>
      </w:r>
      <w:r w:rsidRPr="00044B62">
        <w:rPr>
          <w:szCs w:val="24"/>
          <w:lang w:val="en-IE" w:eastAsia="en-IE"/>
        </w:rPr>
        <w:t xml:space="preserve">international </w:t>
      </w:r>
      <w:r w:rsidR="00617794">
        <w:rPr>
          <w:szCs w:val="24"/>
          <w:lang w:val="en-IE" w:eastAsia="en-IE"/>
        </w:rPr>
        <w:t xml:space="preserve">cooperation on </w:t>
      </w:r>
      <w:r w:rsidRPr="00044B62">
        <w:rPr>
          <w:szCs w:val="24"/>
          <w:lang w:val="en-IE" w:eastAsia="en-IE"/>
        </w:rPr>
        <w:t>drugs – the British-Irish Council</w:t>
      </w:r>
      <w:r w:rsidR="00617794">
        <w:rPr>
          <w:szCs w:val="24"/>
          <w:lang w:val="en-IE" w:eastAsia="en-IE"/>
        </w:rPr>
        <w:t xml:space="preserve"> </w:t>
      </w:r>
      <w:r w:rsidRPr="00044B62">
        <w:rPr>
          <w:szCs w:val="24"/>
          <w:lang w:val="en-IE" w:eastAsia="en-IE"/>
        </w:rPr>
        <w:t xml:space="preserve">and the Council of Europe. </w:t>
      </w:r>
    </w:p>
    <w:p w14:paraId="1B29D880" w14:textId="3319E102" w:rsidR="00044B62" w:rsidRPr="00044B62" w:rsidRDefault="00044B62" w:rsidP="00044B62">
      <w:pPr>
        <w:numPr>
          <w:ilvl w:val="0"/>
          <w:numId w:val="34"/>
        </w:numPr>
        <w:spacing w:before="100" w:beforeAutospacing="1" w:after="100" w:afterAutospacing="1"/>
        <w:ind w:left="360"/>
        <w:rPr>
          <w:szCs w:val="24"/>
          <w:lang w:val="en-IE" w:eastAsia="en-IE"/>
        </w:rPr>
      </w:pPr>
      <w:r w:rsidRPr="00044B62">
        <w:rPr>
          <w:szCs w:val="24"/>
          <w:lang w:val="en-IE" w:eastAsia="en-IE"/>
        </w:rPr>
        <w:t xml:space="preserve">The British-Irish Council has a dedicated work sector on drugs involving eight administrations, including Ireland and Northern Ireland. There are </w:t>
      </w:r>
      <w:proofErr w:type="gramStart"/>
      <w:r w:rsidRPr="00044B62">
        <w:rPr>
          <w:szCs w:val="24"/>
          <w:lang w:val="en-IE" w:eastAsia="en-IE"/>
        </w:rPr>
        <w:t>many</w:t>
      </w:r>
      <w:proofErr w:type="gramEnd"/>
      <w:r w:rsidRPr="00044B62">
        <w:rPr>
          <w:szCs w:val="24"/>
          <w:lang w:val="en-IE" w:eastAsia="en-IE"/>
        </w:rPr>
        <w:t xml:space="preserve"> common drug issues across the member administrations. One recent example is the emergence of synthetic opioids. These drugs are extremely potent and </w:t>
      </w:r>
      <w:proofErr w:type="gramStart"/>
      <w:r w:rsidRPr="00044B62">
        <w:rPr>
          <w:szCs w:val="24"/>
          <w:lang w:val="en-IE" w:eastAsia="en-IE"/>
        </w:rPr>
        <w:t>greatly increase</w:t>
      </w:r>
      <w:proofErr w:type="gramEnd"/>
      <w:r w:rsidRPr="00044B62">
        <w:rPr>
          <w:szCs w:val="24"/>
          <w:lang w:val="en-IE" w:eastAsia="en-IE"/>
        </w:rPr>
        <w:t xml:space="preserve"> the risk of drug overdose. Sharing information about the public health response to the threat of synthetic opioids is vital for drugs policy. </w:t>
      </w:r>
    </w:p>
    <w:p w14:paraId="35953BE1" w14:textId="4C327FFC" w:rsidR="00685E76" w:rsidRPr="00685E76" w:rsidRDefault="00044B62" w:rsidP="00685E76">
      <w:pPr>
        <w:numPr>
          <w:ilvl w:val="0"/>
          <w:numId w:val="34"/>
        </w:numPr>
        <w:spacing w:before="100" w:beforeAutospacing="1" w:after="100" w:afterAutospacing="1"/>
        <w:ind w:left="360"/>
        <w:rPr>
          <w:szCs w:val="24"/>
          <w:lang w:val="en-IE" w:eastAsia="en-IE"/>
        </w:rPr>
      </w:pPr>
      <w:r w:rsidRPr="00044B62">
        <w:rPr>
          <w:szCs w:val="24"/>
          <w:lang w:val="en-IE" w:eastAsia="en-IE"/>
        </w:rPr>
        <w:t xml:space="preserve">Another international forum is the Pompidou group under the Council of Europe, which supports drugs policy from a human rights perspective. An example of its work is </w:t>
      </w:r>
      <w:r w:rsidR="00685E76" w:rsidRPr="00685E76">
        <w:rPr>
          <w:szCs w:val="24"/>
          <w:lang w:val="en-IE" w:eastAsia="en-IE"/>
        </w:rPr>
        <w:t>the publication of a</w:t>
      </w:r>
      <w:r w:rsidRPr="00044B62">
        <w:rPr>
          <w:szCs w:val="24"/>
          <w:lang w:val="en-IE" w:eastAsia="en-IE"/>
        </w:rPr>
        <w:t xml:space="preserve"> handbook on implementing a gender approach in drug policies: prevention, </w:t>
      </w:r>
      <w:proofErr w:type="gramStart"/>
      <w:r w:rsidRPr="00044B62">
        <w:rPr>
          <w:szCs w:val="24"/>
          <w:lang w:val="en-IE" w:eastAsia="en-IE"/>
        </w:rPr>
        <w:t>treatment</w:t>
      </w:r>
      <w:proofErr w:type="gramEnd"/>
      <w:r w:rsidRPr="00044B62">
        <w:rPr>
          <w:szCs w:val="24"/>
          <w:lang w:val="en-IE" w:eastAsia="en-IE"/>
        </w:rPr>
        <w:t xml:space="preserve"> and criminal justice</w:t>
      </w:r>
      <w:r w:rsidR="00685E76">
        <w:rPr>
          <w:szCs w:val="24"/>
          <w:lang w:val="en-IE" w:eastAsia="en-IE"/>
        </w:rPr>
        <w:t xml:space="preserve">, of which Ireland was a key author. </w:t>
      </w:r>
    </w:p>
    <w:p w14:paraId="2BFCDC70" w14:textId="77777777" w:rsidR="006D53BF" w:rsidRPr="002B3474" w:rsidRDefault="00D656E0" w:rsidP="006D53BF">
      <w:pPr>
        <w:rPr>
          <w:b/>
          <w:bCs/>
          <w:szCs w:val="24"/>
          <w:lang w:val="en-IE" w:eastAsia="en-IE"/>
        </w:rPr>
      </w:pPr>
      <w:r w:rsidRPr="002B3474">
        <w:rPr>
          <w:b/>
          <w:bCs/>
          <w:szCs w:val="24"/>
          <w:lang w:val="en-IE" w:eastAsia="en-IE"/>
        </w:rPr>
        <w:t xml:space="preserve">The Department of Health </w:t>
      </w:r>
    </w:p>
    <w:p w14:paraId="65922AF5" w14:textId="662B738D" w:rsidR="00D656E0" w:rsidRDefault="00D656E0" w:rsidP="006D53BF">
      <w:pPr>
        <w:rPr>
          <w:szCs w:val="24"/>
          <w:lang w:val="en-IE" w:eastAsia="en-IE"/>
        </w:rPr>
      </w:pPr>
      <w:r w:rsidRPr="00D656E0">
        <w:rPr>
          <w:szCs w:val="24"/>
          <w:lang w:val="en-IE" w:eastAsia="en-IE"/>
        </w:rPr>
        <w:t xml:space="preserve">The Department of Health’s mission is to support, protect and empower individuals, </w:t>
      </w:r>
      <w:proofErr w:type="gramStart"/>
      <w:r w:rsidRPr="00D656E0">
        <w:rPr>
          <w:szCs w:val="24"/>
          <w:lang w:val="en-IE" w:eastAsia="en-IE"/>
        </w:rPr>
        <w:t>families</w:t>
      </w:r>
      <w:proofErr w:type="gramEnd"/>
      <w:r w:rsidRPr="00D656E0">
        <w:rPr>
          <w:szCs w:val="24"/>
          <w:lang w:val="en-IE" w:eastAsia="en-IE"/>
        </w:rPr>
        <w:t xml:space="preserve"> and their communities to achieve their full health potential by putting health at the centre of public policy and by leading the development of high quality, equitable and efficient health and personal social services. </w:t>
      </w:r>
    </w:p>
    <w:p w14:paraId="41DD3B52" w14:textId="132130A2" w:rsidR="00B60CBA" w:rsidRPr="00B60CBA" w:rsidRDefault="00B60CBA" w:rsidP="00B60CBA">
      <w:pPr>
        <w:rPr>
          <w:szCs w:val="24"/>
          <w:lang w:val="en-IE" w:eastAsia="en-IE"/>
        </w:rPr>
      </w:pPr>
      <w:r>
        <w:rPr>
          <w:szCs w:val="24"/>
          <w:lang w:val="en-IE" w:eastAsia="en-IE"/>
        </w:rPr>
        <w:t xml:space="preserve">The Department of Health’s </w:t>
      </w:r>
      <w:hyperlink r:id="rId19" w:anchor="page=null" w:history="1">
        <w:r w:rsidRPr="00B60CBA">
          <w:rPr>
            <w:rStyle w:val="Hyperlink"/>
            <w:szCs w:val="24"/>
            <w:lang w:val="en-IE" w:eastAsia="en-IE"/>
          </w:rPr>
          <w:t>Statement of Strategy for 2023-2025</w:t>
        </w:r>
      </w:hyperlink>
      <w:r w:rsidRPr="00B60CBA">
        <w:rPr>
          <w:szCs w:val="24"/>
          <w:lang w:val="en-IE" w:eastAsia="en-IE"/>
        </w:rPr>
        <w:t xml:space="preserve"> will support the Department in achieving its Vision for a healthier Ireland, with improved health and wellbeing for all, and with the right care delivered in the right place at the right time.</w:t>
      </w:r>
    </w:p>
    <w:p w14:paraId="3D81AA42" w14:textId="77777777" w:rsidR="00B60CBA" w:rsidRPr="00B60CBA" w:rsidRDefault="00B60CBA" w:rsidP="00B60CBA">
      <w:pPr>
        <w:rPr>
          <w:szCs w:val="24"/>
          <w:lang w:val="en-IE" w:eastAsia="en-IE"/>
        </w:rPr>
      </w:pPr>
      <w:r w:rsidRPr="00B60CBA">
        <w:rPr>
          <w:szCs w:val="24"/>
          <w:lang w:val="en-IE" w:eastAsia="en-IE"/>
        </w:rPr>
        <w:t>This Statement of Strategy will guide the work of the Department via five overarching priorities:</w:t>
      </w:r>
    </w:p>
    <w:p w14:paraId="326D7434" w14:textId="77777777" w:rsidR="00B60CBA" w:rsidRPr="00B60CBA" w:rsidRDefault="00B60CBA" w:rsidP="00415036">
      <w:pPr>
        <w:ind w:left="720"/>
        <w:rPr>
          <w:szCs w:val="24"/>
          <w:lang w:val="en-IE" w:eastAsia="en-IE"/>
        </w:rPr>
      </w:pPr>
      <w:r w:rsidRPr="00B60CBA">
        <w:rPr>
          <w:szCs w:val="24"/>
          <w:lang w:val="en-IE" w:eastAsia="en-IE"/>
        </w:rPr>
        <w:t>1. Pandemic preparedness and the promotion of public health</w:t>
      </w:r>
    </w:p>
    <w:p w14:paraId="2C0FBAA5" w14:textId="77777777" w:rsidR="00B60CBA" w:rsidRPr="00B60CBA" w:rsidRDefault="00B60CBA" w:rsidP="00415036">
      <w:pPr>
        <w:ind w:left="720"/>
        <w:rPr>
          <w:szCs w:val="24"/>
          <w:lang w:val="en-IE" w:eastAsia="en-IE"/>
        </w:rPr>
      </w:pPr>
      <w:r w:rsidRPr="00B60CBA">
        <w:rPr>
          <w:szCs w:val="24"/>
          <w:lang w:val="en-IE" w:eastAsia="en-IE"/>
        </w:rPr>
        <w:t>2. Expand and integrate care in the community</w:t>
      </w:r>
    </w:p>
    <w:p w14:paraId="727817EA" w14:textId="77777777" w:rsidR="00B60CBA" w:rsidRPr="00B60CBA" w:rsidRDefault="00B60CBA" w:rsidP="00415036">
      <w:pPr>
        <w:ind w:left="720"/>
        <w:rPr>
          <w:szCs w:val="24"/>
          <w:lang w:val="en-IE" w:eastAsia="en-IE"/>
        </w:rPr>
      </w:pPr>
      <w:r w:rsidRPr="00B60CBA">
        <w:rPr>
          <w:szCs w:val="24"/>
          <w:lang w:val="en-IE" w:eastAsia="en-IE"/>
        </w:rPr>
        <w:t>3. Make access to healthcare fairer and faster</w:t>
      </w:r>
    </w:p>
    <w:p w14:paraId="043A7342" w14:textId="77777777" w:rsidR="00B60CBA" w:rsidRPr="00B60CBA" w:rsidRDefault="00B60CBA" w:rsidP="00415036">
      <w:pPr>
        <w:ind w:left="720"/>
        <w:rPr>
          <w:szCs w:val="24"/>
          <w:lang w:val="en-IE" w:eastAsia="en-IE"/>
        </w:rPr>
      </w:pPr>
      <w:r w:rsidRPr="00B60CBA">
        <w:rPr>
          <w:szCs w:val="24"/>
          <w:lang w:val="en-IE" w:eastAsia="en-IE"/>
        </w:rPr>
        <w:t>4. Improve oversight and partnership in the sector</w:t>
      </w:r>
    </w:p>
    <w:p w14:paraId="51645935" w14:textId="77777777" w:rsidR="00B60CBA" w:rsidRPr="00B60CBA" w:rsidRDefault="00B60CBA" w:rsidP="00415036">
      <w:pPr>
        <w:ind w:left="720"/>
        <w:rPr>
          <w:szCs w:val="24"/>
          <w:lang w:val="en-IE" w:eastAsia="en-IE"/>
        </w:rPr>
      </w:pPr>
      <w:r w:rsidRPr="00B60CBA">
        <w:rPr>
          <w:szCs w:val="24"/>
          <w:lang w:val="en-IE" w:eastAsia="en-IE"/>
        </w:rPr>
        <w:t>5. Become an organisation fit for the future</w:t>
      </w:r>
    </w:p>
    <w:p w14:paraId="7E9F7309" w14:textId="77777777" w:rsidR="00415036" w:rsidRDefault="00415036" w:rsidP="006D53BF">
      <w:pPr>
        <w:rPr>
          <w:szCs w:val="24"/>
          <w:lang w:val="en-IE" w:eastAsia="en-IE"/>
        </w:rPr>
      </w:pPr>
    </w:p>
    <w:p w14:paraId="66E03484" w14:textId="41F567E4" w:rsidR="00B60CBA" w:rsidRPr="00044B62" w:rsidRDefault="00044B62" w:rsidP="006D53BF">
      <w:pPr>
        <w:rPr>
          <w:szCs w:val="24"/>
          <w:lang w:val="en-IE" w:eastAsia="en-IE"/>
        </w:rPr>
      </w:pPr>
      <w:r>
        <w:rPr>
          <w:szCs w:val="24"/>
          <w:lang w:val="en-IE" w:eastAsia="en-IE"/>
        </w:rPr>
        <w:t>Under the third priority, ‘</w:t>
      </w:r>
      <w:r w:rsidRPr="00B60CBA">
        <w:rPr>
          <w:szCs w:val="24"/>
          <w:lang w:val="en-IE" w:eastAsia="en-IE"/>
        </w:rPr>
        <w:t>Make access to healthcare fairer and faster</w:t>
      </w:r>
      <w:r>
        <w:rPr>
          <w:szCs w:val="24"/>
          <w:lang w:val="en-IE" w:eastAsia="en-IE"/>
        </w:rPr>
        <w:t>’ the key commitment relevant to this work is to ‘i</w:t>
      </w:r>
      <w:r w:rsidRPr="00044B62">
        <w:rPr>
          <w:szCs w:val="24"/>
          <w:lang w:eastAsia="en-IE"/>
        </w:rPr>
        <w:t>mprove access to care for substance users and socially excluded groups -including Travellers, Roma, people who are homeless, asylum seekers, refugees and people who use drugs.</w:t>
      </w:r>
      <w:r>
        <w:rPr>
          <w:szCs w:val="24"/>
          <w:lang w:eastAsia="en-IE"/>
        </w:rPr>
        <w:t>’</w:t>
      </w:r>
    </w:p>
    <w:p w14:paraId="7D44A4D1" w14:textId="79384200" w:rsidR="00D656E0" w:rsidRPr="00D656E0" w:rsidRDefault="00D656E0" w:rsidP="00D656E0">
      <w:pPr>
        <w:spacing w:before="100" w:beforeAutospacing="1" w:after="100" w:afterAutospacing="1"/>
        <w:rPr>
          <w:b/>
          <w:bCs/>
          <w:szCs w:val="24"/>
          <w:u w:val="single"/>
          <w:lang w:val="en-US" w:eastAsia="en-IE"/>
        </w:rPr>
      </w:pPr>
      <w:r w:rsidRPr="00D656E0">
        <w:rPr>
          <w:szCs w:val="24"/>
          <w:lang w:val="en-IE" w:eastAsia="en-IE"/>
        </w:rPr>
        <w:t xml:space="preserve">The </w:t>
      </w:r>
      <w:r w:rsidRPr="00917715">
        <w:rPr>
          <w:szCs w:val="24"/>
          <w:lang w:val="en-US" w:eastAsia="en-IE"/>
        </w:rPr>
        <w:t xml:space="preserve">Drugs Policy Refugee, and Inclusion Health Unit </w:t>
      </w:r>
      <w:r w:rsidR="00917715">
        <w:rPr>
          <w:szCs w:val="24"/>
          <w:lang w:val="en-US" w:eastAsia="en-IE"/>
        </w:rPr>
        <w:t xml:space="preserve">in the Department of </w:t>
      </w:r>
      <w:r w:rsidR="00D56D9A">
        <w:rPr>
          <w:szCs w:val="24"/>
          <w:lang w:val="en-US" w:eastAsia="en-IE"/>
        </w:rPr>
        <w:t>Health</w:t>
      </w:r>
      <w:r w:rsidR="00D56D9A" w:rsidRPr="00917715">
        <w:rPr>
          <w:szCs w:val="24"/>
          <w:lang w:val="en-US" w:eastAsia="en-IE"/>
        </w:rPr>
        <w:t xml:space="preserve"> has</w:t>
      </w:r>
      <w:r w:rsidRPr="00917715">
        <w:rPr>
          <w:szCs w:val="24"/>
          <w:lang w:val="en-US" w:eastAsia="en-IE"/>
        </w:rPr>
        <w:t xml:space="preserve"> </w:t>
      </w:r>
      <w:r w:rsidR="00CC55E9">
        <w:rPr>
          <w:szCs w:val="24"/>
          <w:lang w:val="en-US" w:eastAsia="en-IE"/>
        </w:rPr>
        <w:t>t</w:t>
      </w:r>
      <w:r w:rsidR="00CC55E9" w:rsidRPr="00917715">
        <w:rPr>
          <w:szCs w:val="24"/>
          <w:lang w:val="en-US" w:eastAsia="en-IE"/>
        </w:rPr>
        <w:t>he</w:t>
      </w:r>
      <w:r w:rsidRPr="00917715">
        <w:rPr>
          <w:szCs w:val="24"/>
          <w:lang w:val="en-US" w:eastAsia="en-IE"/>
        </w:rPr>
        <w:t xml:space="preserve"> following objectives</w:t>
      </w:r>
      <w:r w:rsidRPr="00D656E0">
        <w:rPr>
          <w:b/>
          <w:bCs/>
          <w:szCs w:val="24"/>
          <w:u w:val="single"/>
          <w:lang w:val="en-US" w:eastAsia="en-IE"/>
        </w:rPr>
        <w:t>:</w:t>
      </w:r>
    </w:p>
    <w:p w14:paraId="72788FEC" w14:textId="77777777" w:rsidR="00D656E0" w:rsidRPr="00D656E0" w:rsidRDefault="00D656E0" w:rsidP="00D656E0">
      <w:pPr>
        <w:numPr>
          <w:ilvl w:val="0"/>
          <w:numId w:val="26"/>
        </w:numPr>
        <w:spacing w:before="100" w:beforeAutospacing="1" w:after="100" w:afterAutospacing="1"/>
        <w:rPr>
          <w:szCs w:val="24"/>
          <w:lang w:val="en-IE" w:eastAsia="en-IE"/>
        </w:rPr>
      </w:pPr>
      <w:r w:rsidRPr="00D656E0">
        <w:rPr>
          <w:szCs w:val="24"/>
          <w:lang w:val="en-IE" w:eastAsia="en-IE"/>
        </w:rPr>
        <w:t xml:space="preserve">Lead the Dept’s policy on illicit drugs and funding of services for drug and alcohol </w:t>
      </w:r>
      <w:proofErr w:type="gramStart"/>
      <w:r w:rsidRPr="00D656E0">
        <w:rPr>
          <w:szCs w:val="24"/>
          <w:lang w:val="en-IE" w:eastAsia="en-IE"/>
        </w:rPr>
        <w:t>use;</w:t>
      </w:r>
      <w:proofErr w:type="gramEnd"/>
    </w:p>
    <w:p w14:paraId="16364420" w14:textId="77777777" w:rsidR="00D656E0" w:rsidRDefault="00D656E0" w:rsidP="00D656E0">
      <w:pPr>
        <w:numPr>
          <w:ilvl w:val="0"/>
          <w:numId w:val="26"/>
        </w:numPr>
        <w:spacing w:before="100" w:beforeAutospacing="1" w:after="100" w:afterAutospacing="1"/>
        <w:rPr>
          <w:szCs w:val="24"/>
          <w:lang w:val="en-IE" w:eastAsia="en-IE"/>
        </w:rPr>
      </w:pPr>
      <w:r w:rsidRPr="00D656E0">
        <w:rPr>
          <w:szCs w:val="24"/>
          <w:lang w:val="en-IE" w:eastAsia="en-IE"/>
        </w:rPr>
        <w:t xml:space="preserve">Coordinate the implementation of the national drugs strategy with other departments, agencies and community and voluntary </w:t>
      </w:r>
      <w:proofErr w:type="gramStart"/>
      <w:r w:rsidRPr="00D656E0">
        <w:rPr>
          <w:szCs w:val="24"/>
          <w:lang w:val="en-IE" w:eastAsia="en-IE"/>
        </w:rPr>
        <w:t>groups;</w:t>
      </w:r>
      <w:proofErr w:type="gramEnd"/>
    </w:p>
    <w:p w14:paraId="512BDE7B" w14:textId="5C2AAB27" w:rsidR="00DD26EA" w:rsidRPr="00D656E0" w:rsidRDefault="00DD26EA" w:rsidP="00DD26EA">
      <w:pPr>
        <w:numPr>
          <w:ilvl w:val="0"/>
          <w:numId w:val="26"/>
        </w:numPr>
        <w:spacing w:before="100" w:beforeAutospacing="1" w:after="100" w:afterAutospacing="1"/>
        <w:rPr>
          <w:szCs w:val="24"/>
          <w:lang w:val="en-IE" w:eastAsia="en-IE"/>
        </w:rPr>
      </w:pPr>
      <w:r w:rsidRPr="00DD26EA">
        <w:rPr>
          <w:szCs w:val="24"/>
          <w:lang w:val="en-IE" w:eastAsia="en-IE"/>
        </w:rPr>
        <w:lastRenderedPageBreak/>
        <w:t>Lead the Dept’s response to the health needs of socially excluded groups identified in cross-departmental strategies, including people who are homeless, the Traveller and Roma communities, international protection applicants, and people who use drugs and alcohol.</w:t>
      </w:r>
    </w:p>
    <w:p w14:paraId="49824B9D" w14:textId="0F71E446" w:rsidR="002B3474" w:rsidRPr="007943E8" w:rsidRDefault="00D656E0" w:rsidP="007943E8">
      <w:pPr>
        <w:spacing w:before="100" w:beforeAutospacing="1" w:after="100" w:afterAutospacing="1"/>
        <w:rPr>
          <w:szCs w:val="24"/>
          <w:lang w:val="en-IE" w:eastAsia="en-IE"/>
        </w:rPr>
      </w:pPr>
      <w:r w:rsidRPr="00D656E0">
        <w:rPr>
          <w:szCs w:val="24"/>
          <w:lang w:val="en-IE" w:eastAsia="en-IE"/>
        </w:rPr>
        <w:t xml:space="preserve">The Dept works closely with the </w:t>
      </w:r>
      <w:r w:rsidR="00917715">
        <w:rPr>
          <w:szCs w:val="24"/>
          <w:lang w:val="en-IE" w:eastAsia="en-IE"/>
        </w:rPr>
        <w:t xml:space="preserve">other government departments (Children, Education, Housing, Justice, and the Taoiseach) and state agencies, including </w:t>
      </w:r>
      <w:r w:rsidRPr="00D656E0">
        <w:rPr>
          <w:szCs w:val="24"/>
          <w:lang w:val="en-IE" w:eastAsia="en-IE"/>
        </w:rPr>
        <w:t xml:space="preserve">the HSE, </w:t>
      </w:r>
      <w:r w:rsidR="00917715">
        <w:rPr>
          <w:szCs w:val="24"/>
          <w:lang w:val="en-IE" w:eastAsia="en-IE"/>
        </w:rPr>
        <w:t xml:space="preserve">to implement the strategy. </w:t>
      </w:r>
    </w:p>
    <w:p w14:paraId="3D2E5094" w14:textId="77777777" w:rsidR="002B3474" w:rsidRPr="006C104F" w:rsidRDefault="002B3474" w:rsidP="004A6949">
      <w:pPr>
        <w:pStyle w:val="BodyText"/>
        <w:jc w:val="both"/>
        <w:rPr>
          <w:b/>
          <w:sz w:val="22"/>
          <w:szCs w:val="22"/>
        </w:rPr>
      </w:pPr>
    </w:p>
    <w:p w14:paraId="7E8C5BE2" w14:textId="77777777" w:rsidR="004A6949" w:rsidRPr="006C104F" w:rsidRDefault="004A6949" w:rsidP="00642EED">
      <w:pPr>
        <w:ind w:left="720" w:hanging="720"/>
        <w:jc w:val="both"/>
        <w:rPr>
          <w:b/>
          <w:sz w:val="22"/>
          <w:szCs w:val="22"/>
        </w:rPr>
      </w:pPr>
      <w:r w:rsidRPr="006C104F">
        <w:rPr>
          <w:b/>
          <w:sz w:val="22"/>
          <w:szCs w:val="22"/>
        </w:rPr>
        <w:t>2.</w:t>
      </w:r>
      <w:r w:rsidRPr="006C104F">
        <w:rPr>
          <w:b/>
          <w:sz w:val="22"/>
          <w:szCs w:val="22"/>
        </w:rPr>
        <w:tab/>
        <w:t>SPECIFICATION OF REQUIREMENTS</w:t>
      </w:r>
    </w:p>
    <w:p w14:paraId="0BF15D37" w14:textId="2B56D3D1" w:rsidR="00BC11A6" w:rsidRPr="006C104F" w:rsidRDefault="00BC11A6" w:rsidP="00BC11A6">
      <w:pPr>
        <w:rPr>
          <w:b/>
          <w:color w:val="FF0000"/>
          <w:sz w:val="22"/>
          <w:szCs w:val="22"/>
        </w:rPr>
      </w:pPr>
    </w:p>
    <w:p w14:paraId="49248015" w14:textId="65F00933" w:rsidR="000B70AB" w:rsidRPr="000B70AB" w:rsidRDefault="000B70AB" w:rsidP="000B70AB">
      <w:pPr>
        <w:ind w:left="720" w:hanging="720"/>
        <w:jc w:val="both"/>
        <w:rPr>
          <w:b/>
          <w:sz w:val="22"/>
          <w:szCs w:val="22"/>
          <w:lang w:val="en-IE"/>
        </w:rPr>
      </w:pPr>
      <w:r w:rsidRPr="000B70AB">
        <w:rPr>
          <w:b/>
          <w:sz w:val="22"/>
          <w:szCs w:val="22"/>
          <w:lang w:val="en-IE"/>
        </w:rPr>
        <w:t>2.1 Evaluation</w:t>
      </w:r>
      <w:r w:rsidR="00AB3FC6">
        <w:rPr>
          <w:b/>
          <w:sz w:val="22"/>
          <w:szCs w:val="22"/>
          <w:lang w:val="en-IE"/>
        </w:rPr>
        <w:t xml:space="preserve"> of the national drugs strategy should include the </w:t>
      </w:r>
      <w:r w:rsidRPr="000B70AB">
        <w:rPr>
          <w:b/>
          <w:sz w:val="22"/>
          <w:szCs w:val="22"/>
          <w:lang w:val="en-IE"/>
        </w:rPr>
        <w:t xml:space="preserve">following </w:t>
      </w:r>
      <w:r w:rsidR="00AB3FC6">
        <w:rPr>
          <w:b/>
          <w:sz w:val="22"/>
          <w:szCs w:val="22"/>
          <w:lang w:val="en-IE"/>
        </w:rPr>
        <w:t xml:space="preserve">four </w:t>
      </w:r>
      <w:r w:rsidRPr="000B70AB">
        <w:rPr>
          <w:b/>
          <w:sz w:val="22"/>
          <w:szCs w:val="22"/>
          <w:lang w:val="en-IE"/>
        </w:rPr>
        <w:t xml:space="preserve">domains. </w:t>
      </w:r>
    </w:p>
    <w:p w14:paraId="18529427" w14:textId="77777777" w:rsidR="000B70AB" w:rsidRPr="000B70AB" w:rsidRDefault="000B70AB" w:rsidP="000B70AB">
      <w:pPr>
        <w:ind w:left="720" w:hanging="720"/>
        <w:jc w:val="both"/>
        <w:rPr>
          <w:b/>
          <w:sz w:val="22"/>
          <w:szCs w:val="22"/>
          <w:lang w:val="en-IE"/>
        </w:rPr>
      </w:pPr>
    </w:p>
    <w:p w14:paraId="330A4C93" w14:textId="77777777" w:rsidR="000B70AB" w:rsidRPr="000B70AB" w:rsidRDefault="000B70AB" w:rsidP="000B70AB">
      <w:pPr>
        <w:numPr>
          <w:ilvl w:val="0"/>
          <w:numId w:val="38"/>
        </w:numPr>
        <w:jc w:val="both"/>
        <w:rPr>
          <w:b/>
          <w:sz w:val="22"/>
          <w:szCs w:val="22"/>
          <w:lang w:val="en-IE"/>
        </w:rPr>
      </w:pPr>
      <w:r w:rsidRPr="000B70AB">
        <w:rPr>
          <w:b/>
          <w:sz w:val="22"/>
          <w:szCs w:val="22"/>
        </w:rPr>
        <w:t xml:space="preserve">The impact of the national drugs strategy, in relation to </w:t>
      </w:r>
    </w:p>
    <w:p w14:paraId="2D2863EB" w14:textId="1BDAD855" w:rsidR="000B70AB" w:rsidRPr="000B70AB" w:rsidRDefault="00501E62" w:rsidP="000B70AB">
      <w:pPr>
        <w:numPr>
          <w:ilvl w:val="1"/>
          <w:numId w:val="38"/>
        </w:numPr>
        <w:jc w:val="both"/>
        <w:rPr>
          <w:bCs/>
          <w:sz w:val="22"/>
          <w:szCs w:val="22"/>
          <w:lang w:val="en-IE"/>
        </w:rPr>
      </w:pPr>
      <w:r>
        <w:rPr>
          <w:bCs/>
          <w:sz w:val="22"/>
          <w:szCs w:val="22"/>
        </w:rPr>
        <w:t>I</w:t>
      </w:r>
      <w:r w:rsidR="000B70AB" w:rsidRPr="000B70AB">
        <w:rPr>
          <w:bCs/>
          <w:sz w:val="22"/>
          <w:szCs w:val="22"/>
        </w:rPr>
        <w:t xml:space="preserve">ts objective of a public health and a whole of Government response to drug </w:t>
      </w:r>
      <w:r>
        <w:rPr>
          <w:bCs/>
          <w:sz w:val="22"/>
          <w:szCs w:val="22"/>
        </w:rPr>
        <w:t xml:space="preserve">and alcohol </w:t>
      </w:r>
      <w:r w:rsidR="000B70AB" w:rsidRPr="000B70AB">
        <w:rPr>
          <w:bCs/>
          <w:sz w:val="22"/>
          <w:szCs w:val="22"/>
        </w:rPr>
        <w:t xml:space="preserve">use. </w:t>
      </w:r>
    </w:p>
    <w:p w14:paraId="018DF0E9" w14:textId="560C7126" w:rsidR="000B70AB" w:rsidRPr="000B70AB" w:rsidRDefault="00501E62" w:rsidP="000B70AB">
      <w:pPr>
        <w:numPr>
          <w:ilvl w:val="1"/>
          <w:numId w:val="38"/>
        </w:numPr>
        <w:jc w:val="both"/>
        <w:rPr>
          <w:bCs/>
          <w:sz w:val="22"/>
          <w:szCs w:val="22"/>
          <w:lang w:val="en-IE"/>
        </w:rPr>
      </w:pPr>
      <w:r>
        <w:rPr>
          <w:bCs/>
          <w:sz w:val="22"/>
          <w:szCs w:val="22"/>
        </w:rPr>
        <w:t>A</w:t>
      </w:r>
      <w:r w:rsidR="000B70AB" w:rsidRPr="000B70AB">
        <w:rPr>
          <w:bCs/>
          <w:sz w:val="22"/>
          <w:szCs w:val="22"/>
        </w:rPr>
        <w:t>chievements in relation to its goals, strategic priorities and strategic action plans.</w:t>
      </w:r>
    </w:p>
    <w:p w14:paraId="3D5FD983" w14:textId="77777777" w:rsidR="000B70AB" w:rsidRPr="000B70AB" w:rsidRDefault="000B70AB" w:rsidP="000B70AB">
      <w:pPr>
        <w:ind w:left="720" w:hanging="720"/>
        <w:jc w:val="both"/>
        <w:rPr>
          <w:bCs/>
          <w:sz w:val="22"/>
          <w:szCs w:val="22"/>
          <w:lang w:val="en-IE"/>
        </w:rPr>
      </w:pPr>
    </w:p>
    <w:p w14:paraId="21283948" w14:textId="4CA69FAE" w:rsidR="000B70AB" w:rsidRPr="000B70AB" w:rsidRDefault="000B70AB" w:rsidP="000B70AB">
      <w:pPr>
        <w:numPr>
          <w:ilvl w:val="0"/>
          <w:numId w:val="38"/>
        </w:numPr>
        <w:jc w:val="both"/>
        <w:rPr>
          <w:b/>
          <w:sz w:val="22"/>
          <w:szCs w:val="22"/>
          <w:lang w:val="en-IE"/>
        </w:rPr>
      </w:pPr>
      <w:r w:rsidRPr="000B70AB">
        <w:rPr>
          <w:b/>
          <w:sz w:val="22"/>
          <w:szCs w:val="22"/>
        </w:rPr>
        <w:t xml:space="preserve">The effectiveness of the governance and </w:t>
      </w:r>
      <w:r w:rsidR="008B5CA5">
        <w:rPr>
          <w:b/>
          <w:sz w:val="22"/>
          <w:szCs w:val="22"/>
        </w:rPr>
        <w:t xml:space="preserve">coordination </w:t>
      </w:r>
      <w:r w:rsidRPr="000B70AB">
        <w:rPr>
          <w:b/>
          <w:sz w:val="22"/>
          <w:szCs w:val="22"/>
        </w:rPr>
        <w:t xml:space="preserve">structures of the strategy, including </w:t>
      </w:r>
    </w:p>
    <w:p w14:paraId="1F2A3110" w14:textId="77777777" w:rsidR="000B70AB" w:rsidRPr="000B70AB" w:rsidRDefault="000B70AB" w:rsidP="000B70AB">
      <w:pPr>
        <w:numPr>
          <w:ilvl w:val="1"/>
          <w:numId w:val="38"/>
        </w:numPr>
        <w:jc w:val="both"/>
        <w:rPr>
          <w:bCs/>
          <w:sz w:val="22"/>
          <w:szCs w:val="22"/>
          <w:lang w:val="en-IE"/>
        </w:rPr>
      </w:pPr>
      <w:r w:rsidRPr="000B70AB">
        <w:rPr>
          <w:bCs/>
          <w:sz w:val="22"/>
          <w:szCs w:val="22"/>
        </w:rPr>
        <w:t xml:space="preserve">National Oversight Committee and Strategic Implementation Groups. </w:t>
      </w:r>
    </w:p>
    <w:p w14:paraId="30A8E53E" w14:textId="77777777" w:rsidR="000B70AB" w:rsidRPr="000B70AB" w:rsidRDefault="000B70AB" w:rsidP="000B70AB">
      <w:pPr>
        <w:numPr>
          <w:ilvl w:val="1"/>
          <w:numId w:val="38"/>
        </w:numPr>
        <w:jc w:val="both"/>
        <w:rPr>
          <w:bCs/>
          <w:sz w:val="22"/>
          <w:szCs w:val="22"/>
          <w:lang w:val="en-IE"/>
        </w:rPr>
      </w:pPr>
      <w:r w:rsidRPr="000B70AB">
        <w:rPr>
          <w:bCs/>
          <w:sz w:val="22"/>
          <w:szCs w:val="22"/>
        </w:rPr>
        <w:t xml:space="preserve">The contribution of stakeholders, including civil society and drug and alcohol task forces. </w:t>
      </w:r>
    </w:p>
    <w:p w14:paraId="5EAB951E" w14:textId="77777777" w:rsidR="00F07C82" w:rsidRPr="000B70AB" w:rsidRDefault="00F07C82" w:rsidP="00F07C82">
      <w:pPr>
        <w:numPr>
          <w:ilvl w:val="1"/>
          <w:numId w:val="38"/>
        </w:numPr>
        <w:jc w:val="both"/>
        <w:rPr>
          <w:bCs/>
          <w:sz w:val="22"/>
          <w:szCs w:val="22"/>
          <w:lang w:val="en-IE"/>
        </w:rPr>
      </w:pPr>
      <w:r w:rsidRPr="000B70AB">
        <w:rPr>
          <w:bCs/>
          <w:sz w:val="22"/>
          <w:szCs w:val="22"/>
        </w:rPr>
        <w:t>The coordination of the implementation of the strategy.</w:t>
      </w:r>
    </w:p>
    <w:p w14:paraId="5A6F385D" w14:textId="7784832D" w:rsidR="000B70AB" w:rsidRPr="000B70AB" w:rsidRDefault="000B70AB" w:rsidP="000B70AB">
      <w:pPr>
        <w:numPr>
          <w:ilvl w:val="1"/>
          <w:numId w:val="38"/>
        </w:numPr>
        <w:jc w:val="both"/>
        <w:rPr>
          <w:bCs/>
          <w:sz w:val="22"/>
          <w:szCs w:val="22"/>
          <w:lang w:val="en-IE"/>
        </w:rPr>
      </w:pPr>
      <w:r w:rsidRPr="000B70AB">
        <w:rPr>
          <w:bCs/>
          <w:sz w:val="22"/>
          <w:szCs w:val="22"/>
          <w:lang w:val="en-IE"/>
        </w:rPr>
        <w:t xml:space="preserve">Reporting and oversight of the strategy by government. </w:t>
      </w:r>
    </w:p>
    <w:p w14:paraId="56352835" w14:textId="77777777" w:rsidR="000B70AB" w:rsidRPr="000B70AB" w:rsidRDefault="000B70AB" w:rsidP="000B70AB">
      <w:pPr>
        <w:ind w:left="720" w:hanging="720"/>
        <w:jc w:val="both"/>
        <w:rPr>
          <w:b/>
          <w:sz w:val="22"/>
          <w:szCs w:val="22"/>
          <w:lang w:val="en-IE"/>
        </w:rPr>
      </w:pPr>
    </w:p>
    <w:p w14:paraId="3B1C0B87" w14:textId="77777777" w:rsidR="0034512C" w:rsidRPr="0034512C" w:rsidRDefault="000B70AB" w:rsidP="000B70AB">
      <w:pPr>
        <w:numPr>
          <w:ilvl w:val="0"/>
          <w:numId w:val="38"/>
        </w:numPr>
        <w:jc w:val="both"/>
        <w:rPr>
          <w:bCs/>
          <w:sz w:val="22"/>
          <w:szCs w:val="22"/>
          <w:lang w:val="en-IE"/>
        </w:rPr>
      </w:pPr>
      <w:r w:rsidRPr="00AB3FC6">
        <w:rPr>
          <w:b/>
          <w:sz w:val="22"/>
          <w:szCs w:val="22"/>
        </w:rPr>
        <w:t xml:space="preserve">The performance of the </w:t>
      </w:r>
      <w:r w:rsidR="00F07C82">
        <w:rPr>
          <w:b/>
          <w:sz w:val="22"/>
          <w:szCs w:val="22"/>
        </w:rPr>
        <w:t>s</w:t>
      </w:r>
      <w:r w:rsidRPr="00AB3FC6">
        <w:rPr>
          <w:b/>
          <w:sz w:val="22"/>
          <w:szCs w:val="22"/>
        </w:rPr>
        <w:t>trategy against key outcome indicators,</w:t>
      </w:r>
      <w:r w:rsidRPr="000B70AB">
        <w:rPr>
          <w:bCs/>
          <w:sz w:val="22"/>
          <w:szCs w:val="22"/>
        </w:rPr>
        <w:t xml:space="preserve"> including </w:t>
      </w:r>
    </w:p>
    <w:p w14:paraId="2FE746F1" w14:textId="77777777" w:rsidR="0034512C" w:rsidRPr="0034512C" w:rsidRDefault="000B70AB" w:rsidP="0034512C">
      <w:pPr>
        <w:numPr>
          <w:ilvl w:val="1"/>
          <w:numId w:val="38"/>
        </w:numPr>
        <w:jc w:val="both"/>
        <w:rPr>
          <w:bCs/>
          <w:sz w:val="22"/>
          <w:szCs w:val="22"/>
          <w:lang w:val="en-IE"/>
        </w:rPr>
      </w:pPr>
      <w:r w:rsidRPr="000B70AB">
        <w:rPr>
          <w:bCs/>
          <w:sz w:val="22"/>
          <w:szCs w:val="22"/>
        </w:rPr>
        <w:t xml:space="preserve">the prevalence of drug use, </w:t>
      </w:r>
    </w:p>
    <w:p w14:paraId="527805AB" w14:textId="77777777" w:rsidR="0034512C" w:rsidRPr="0034512C" w:rsidRDefault="000B70AB" w:rsidP="0034512C">
      <w:pPr>
        <w:numPr>
          <w:ilvl w:val="1"/>
          <w:numId w:val="38"/>
        </w:numPr>
        <w:jc w:val="both"/>
        <w:rPr>
          <w:bCs/>
          <w:sz w:val="22"/>
          <w:szCs w:val="22"/>
          <w:lang w:val="en-IE"/>
        </w:rPr>
      </w:pPr>
      <w:r w:rsidRPr="000B70AB">
        <w:rPr>
          <w:bCs/>
          <w:sz w:val="22"/>
          <w:szCs w:val="22"/>
        </w:rPr>
        <w:t xml:space="preserve">the demand for drug services, </w:t>
      </w:r>
    </w:p>
    <w:p w14:paraId="45ACA9ED" w14:textId="77777777" w:rsidR="0034512C" w:rsidRPr="0034512C" w:rsidRDefault="000B70AB" w:rsidP="0034512C">
      <w:pPr>
        <w:numPr>
          <w:ilvl w:val="1"/>
          <w:numId w:val="38"/>
        </w:numPr>
        <w:jc w:val="both"/>
        <w:rPr>
          <w:bCs/>
          <w:sz w:val="22"/>
          <w:szCs w:val="22"/>
          <w:lang w:val="en-IE"/>
        </w:rPr>
      </w:pPr>
      <w:r w:rsidRPr="000B70AB">
        <w:rPr>
          <w:bCs/>
          <w:sz w:val="22"/>
          <w:szCs w:val="22"/>
        </w:rPr>
        <w:t xml:space="preserve">the extent of drug-related harms and </w:t>
      </w:r>
    </w:p>
    <w:p w14:paraId="50545018" w14:textId="30593824" w:rsidR="000B70AB" w:rsidRPr="000B70AB" w:rsidRDefault="000B70AB" w:rsidP="0034512C">
      <w:pPr>
        <w:numPr>
          <w:ilvl w:val="1"/>
          <w:numId w:val="38"/>
        </w:numPr>
        <w:jc w:val="both"/>
        <w:rPr>
          <w:bCs/>
          <w:sz w:val="22"/>
          <w:szCs w:val="22"/>
          <w:lang w:val="en-IE"/>
        </w:rPr>
      </w:pPr>
      <w:r w:rsidRPr="000B70AB">
        <w:rPr>
          <w:bCs/>
          <w:sz w:val="22"/>
          <w:szCs w:val="22"/>
        </w:rPr>
        <w:t>the impact of drugs on families, communities and society.</w:t>
      </w:r>
    </w:p>
    <w:p w14:paraId="4D919690" w14:textId="77777777" w:rsidR="000B70AB" w:rsidRPr="000B70AB" w:rsidRDefault="000B70AB" w:rsidP="000B70AB">
      <w:pPr>
        <w:ind w:left="720" w:hanging="720"/>
        <w:jc w:val="both"/>
        <w:rPr>
          <w:b/>
          <w:sz w:val="22"/>
          <w:szCs w:val="22"/>
          <w:lang w:val="en-IE"/>
        </w:rPr>
      </w:pPr>
    </w:p>
    <w:p w14:paraId="4B6C3408" w14:textId="77777777" w:rsidR="0024701D" w:rsidRPr="0024701D" w:rsidRDefault="00AB3FC6" w:rsidP="000B70AB">
      <w:pPr>
        <w:numPr>
          <w:ilvl w:val="0"/>
          <w:numId w:val="38"/>
        </w:numPr>
        <w:jc w:val="both"/>
        <w:rPr>
          <w:b/>
          <w:sz w:val="22"/>
          <w:szCs w:val="22"/>
          <w:lang w:val="en-IE"/>
        </w:rPr>
      </w:pPr>
      <w:r>
        <w:rPr>
          <w:b/>
          <w:sz w:val="22"/>
          <w:szCs w:val="22"/>
        </w:rPr>
        <w:t>T</w:t>
      </w:r>
      <w:r w:rsidR="000B70AB" w:rsidRPr="00AB3FC6">
        <w:rPr>
          <w:b/>
          <w:sz w:val="22"/>
          <w:szCs w:val="22"/>
        </w:rPr>
        <w:t xml:space="preserve">he </w:t>
      </w:r>
      <w:r w:rsidR="008B5CA5">
        <w:rPr>
          <w:b/>
          <w:sz w:val="22"/>
          <w:szCs w:val="22"/>
        </w:rPr>
        <w:t xml:space="preserve">coherence </w:t>
      </w:r>
      <w:r w:rsidR="00F07C82">
        <w:rPr>
          <w:b/>
          <w:sz w:val="22"/>
          <w:szCs w:val="22"/>
        </w:rPr>
        <w:t xml:space="preserve">and </w:t>
      </w:r>
      <w:r w:rsidR="000B70AB" w:rsidRPr="00AB3FC6">
        <w:rPr>
          <w:b/>
          <w:sz w:val="22"/>
          <w:szCs w:val="22"/>
        </w:rPr>
        <w:t xml:space="preserve">synergies between the national strategy and </w:t>
      </w:r>
      <w:r w:rsidRPr="00AB3FC6">
        <w:rPr>
          <w:b/>
          <w:sz w:val="22"/>
          <w:szCs w:val="22"/>
        </w:rPr>
        <w:t>relevant international responses</w:t>
      </w:r>
      <w:r>
        <w:rPr>
          <w:bCs/>
          <w:sz w:val="22"/>
          <w:szCs w:val="22"/>
        </w:rPr>
        <w:t xml:space="preserve">, including </w:t>
      </w:r>
    </w:p>
    <w:p w14:paraId="3929BE99" w14:textId="77777777" w:rsidR="0024701D" w:rsidRPr="0024701D" w:rsidRDefault="000B70AB" w:rsidP="0024701D">
      <w:pPr>
        <w:numPr>
          <w:ilvl w:val="1"/>
          <w:numId w:val="38"/>
        </w:numPr>
        <w:jc w:val="both"/>
        <w:rPr>
          <w:b/>
          <w:sz w:val="22"/>
          <w:szCs w:val="22"/>
          <w:lang w:val="en-IE"/>
        </w:rPr>
      </w:pPr>
      <w:r w:rsidRPr="000B70AB">
        <w:rPr>
          <w:bCs/>
          <w:sz w:val="22"/>
          <w:szCs w:val="22"/>
        </w:rPr>
        <w:t>the EU drugs strategy and action plan</w:t>
      </w:r>
    </w:p>
    <w:p w14:paraId="6A9C3F0A" w14:textId="77777777" w:rsidR="0024701D" w:rsidRPr="0024701D" w:rsidRDefault="000B70AB" w:rsidP="0024701D">
      <w:pPr>
        <w:numPr>
          <w:ilvl w:val="1"/>
          <w:numId w:val="38"/>
        </w:numPr>
        <w:jc w:val="both"/>
        <w:rPr>
          <w:b/>
          <w:sz w:val="22"/>
          <w:szCs w:val="22"/>
          <w:lang w:val="en-IE"/>
        </w:rPr>
      </w:pPr>
      <w:r w:rsidRPr="000B70AB">
        <w:rPr>
          <w:bCs/>
          <w:sz w:val="22"/>
          <w:szCs w:val="22"/>
        </w:rPr>
        <w:t>the EU Drugs Agency</w:t>
      </w:r>
    </w:p>
    <w:p w14:paraId="48C04169" w14:textId="77777777" w:rsidR="0024701D" w:rsidRPr="0024701D" w:rsidRDefault="000B70AB" w:rsidP="0024701D">
      <w:pPr>
        <w:numPr>
          <w:ilvl w:val="1"/>
          <w:numId w:val="38"/>
        </w:numPr>
        <w:jc w:val="both"/>
        <w:rPr>
          <w:b/>
          <w:sz w:val="22"/>
          <w:szCs w:val="22"/>
          <w:lang w:val="en-IE"/>
        </w:rPr>
      </w:pPr>
      <w:r w:rsidRPr="000B70AB">
        <w:rPr>
          <w:bCs/>
          <w:sz w:val="22"/>
          <w:szCs w:val="22"/>
        </w:rPr>
        <w:t>the Pompidou Group</w:t>
      </w:r>
      <w:r w:rsidR="00AB3FC6">
        <w:rPr>
          <w:bCs/>
          <w:sz w:val="22"/>
          <w:szCs w:val="22"/>
        </w:rPr>
        <w:t xml:space="preserve"> and </w:t>
      </w:r>
    </w:p>
    <w:p w14:paraId="6549F717" w14:textId="2A10274B" w:rsidR="000B70AB" w:rsidRPr="000B70AB" w:rsidRDefault="00AB3FC6" w:rsidP="0024701D">
      <w:pPr>
        <w:numPr>
          <w:ilvl w:val="1"/>
          <w:numId w:val="38"/>
        </w:numPr>
        <w:jc w:val="both"/>
        <w:rPr>
          <w:b/>
          <w:sz w:val="22"/>
          <w:szCs w:val="22"/>
          <w:lang w:val="en-IE"/>
        </w:rPr>
      </w:pPr>
      <w:r>
        <w:rPr>
          <w:bCs/>
          <w:sz w:val="22"/>
          <w:szCs w:val="22"/>
        </w:rPr>
        <w:t>the British Irish Council</w:t>
      </w:r>
      <w:r w:rsidR="000B70AB" w:rsidRPr="000B70AB">
        <w:rPr>
          <w:b/>
          <w:sz w:val="22"/>
          <w:szCs w:val="22"/>
        </w:rPr>
        <w:t xml:space="preserve">. </w:t>
      </w:r>
    </w:p>
    <w:p w14:paraId="619912F5" w14:textId="77777777" w:rsidR="000B70AB" w:rsidRPr="000B70AB" w:rsidRDefault="000B70AB" w:rsidP="000B70AB">
      <w:pPr>
        <w:ind w:left="720" w:hanging="720"/>
        <w:jc w:val="both"/>
        <w:rPr>
          <w:b/>
          <w:sz w:val="22"/>
          <w:szCs w:val="22"/>
          <w:lang w:val="en-IE"/>
        </w:rPr>
      </w:pPr>
    </w:p>
    <w:p w14:paraId="48792688" w14:textId="0EB22732" w:rsidR="000B70AB" w:rsidRPr="000B70AB" w:rsidRDefault="000B70AB" w:rsidP="000B70AB">
      <w:pPr>
        <w:ind w:left="720" w:hanging="720"/>
        <w:jc w:val="both"/>
        <w:rPr>
          <w:bCs/>
          <w:sz w:val="22"/>
          <w:szCs w:val="22"/>
          <w:lang w:val="en-IE"/>
        </w:rPr>
      </w:pPr>
      <w:r w:rsidRPr="000B70AB">
        <w:rPr>
          <w:bCs/>
          <w:sz w:val="22"/>
          <w:szCs w:val="22"/>
          <w:lang w:val="en-IE"/>
        </w:rPr>
        <w:t xml:space="preserve">A final report will address each of the items above and will also make evidence-based recommendations for the design and governance of the new national drugs strategy. </w:t>
      </w:r>
      <w:r w:rsidR="002B3474">
        <w:rPr>
          <w:bCs/>
          <w:sz w:val="22"/>
          <w:szCs w:val="22"/>
          <w:lang w:val="en-IE"/>
        </w:rPr>
        <w:t xml:space="preserve">It </w:t>
      </w:r>
      <w:proofErr w:type="gramStart"/>
      <w:r w:rsidR="002B3474">
        <w:rPr>
          <w:bCs/>
          <w:sz w:val="22"/>
          <w:szCs w:val="22"/>
          <w:lang w:val="en-IE"/>
        </w:rPr>
        <w:t>is intended</w:t>
      </w:r>
      <w:proofErr w:type="gramEnd"/>
      <w:r w:rsidR="002B3474">
        <w:rPr>
          <w:bCs/>
          <w:sz w:val="22"/>
          <w:szCs w:val="22"/>
          <w:lang w:val="en-IE"/>
        </w:rPr>
        <w:t xml:space="preserve"> that a draft of the new strategy is finalised by quarter 1, 2025. </w:t>
      </w:r>
    </w:p>
    <w:p w14:paraId="2FDE6D11" w14:textId="77777777" w:rsidR="00F70092" w:rsidRDefault="00F70092" w:rsidP="000B70AB">
      <w:pPr>
        <w:ind w:left="720" w:hanging="720"/>
        <w:jc w:val="both"/>
        <w:rPr>
          <w:b/>
          <w:sz w:val="22"/>
          <w:szCs w:val="22"/>
          <w:lang w:val="en-IE"/>
        </w:rPr>
      </w:pPr>
    </w:p>
    <w:p w14:paraId="55C6C691" w14:textId="749AFB22" w:rsidR="00F70092" w:rsidRDefault="00F70092" w:rsidP="000B70AB">
      <w:pPr>
        <w:ind w:left="720" w:hanging="720"/>
        <w:jc w:val="both"/>
        <w:rPr>
          <w:bCs/>
          <w:sz w:val="22"/>
          <w:szCs w:val="22"/>
          <w:lang w:val="en-IE"/>
        </w:rPr>
      </w:pPr>
      <w:r>
        <w:rPr>
          <w:bCs/>
          <w:sz w:val="22"/>
          <w:szCs w:val="22"/>
          <w:lang w:val="en-IE"/>
        </w:rPr>
        <w:t xml:space="preserve">The evaluation should </w:t>
      </w:r>
      <w:proofErr w:type="gramStart"/>
      <w:r>
        <w:rPr>
          <w:bCs/>
          <w:sz w:val="22"/>
          <w:szCs w:val="22"/>
          <w:lang w:val="en-IE"/>
        </w:rPr>
        <w:t>be conducted</w:t>
      </w:r>
      <w:proofErr w:type="gramEnd"/>
      <w:r>
        <w:rPr>
          <w:bCs/>
          <w:sz w:val="22"/>
          <w:szCs w:val="22"/>
          <w:lang w:val="en-IE"/>
        </w:rPr>
        <w:t xml:space="preserve"> using a mixed methods approach. There are published data on the </w:t>
      </w:r>
      <w:proofErr w:type="gramStart"/>
      <w:r>
        <w:rPr>
          <w:bCs/>
          <w:sz w:val="22"/>
          <w:szCs w:val="22"/>
          <w:lang w:val="en-IE"/>
        </w:rPr>
        <w:t>34</w:t>
      </w:r>
      <w:proofErr w:type="gramEnd"/>
      <w:r>
        <w:rPr>
          <w:bCs/>
          <w:sz w:val="22"/>
          <w:szCs w:val="22"/>
          <w:lang w:val="en-IE"/>
        </w:rPr>
        <w:t xml:space="preserve"> actions in the current strategic action plan. Similarly, the mid-term review can be used to </w:t>
      </w:r>
      <w:r>
        <w:rPr>
          <w:bCs/>
          <w:sz w:val="22"/>
          <w:szCs w:val="22"/>
          <w:lang w:val="en-IE"/>
        </w:rPr>
        <w:lastRenderedPageBreak/>
        <w:t xml:space="preserve">review progress on the original </w:t>
      </w:r>
      <w:proofErr w:type="gramStart"/>
      <w:r>
        <w:rPr>
          <w:bCs/>
          <w:sz w:val="22"/>
          <w:szCs w:val="22"/>
          <w:lang w:val="en-IE"/>
        </w:rPr>
        <w:t>50</w:t>
      </w:r>
      <w:proofErr w:type="gramEnd"/>
      <w:r>
        <w:rPr>
          <w:bCs/>
          <w:sz w:val="22"/>
          <w:szCs w:val="22"/>
          <w:lang w:val="en-IE"/>
        </w:rPr>
        <w:t xml:space="preserve"> actions. The HSE collates data on demand for drug treatment services and drug-induced deaths, with regular annual reports. Both the national drug and alcohol survey and the Healthy Ireland survey contain data on drug use</w:t>
      </w:r>
      <w:proofErr w:type="gramStart"/>
      <w:r>
        <w:rPr>
          <w:bCs/>
          <w:sz w:val="22"/>
          <w:szCs w:val="22"/>
          <w:lang w:val="en-IE"/>
        </w:rPr>
        <w:t xml:space="preserve">.  </w:t>
      </w:r>
      <w:proofErr w:type="gramEnd"/>
      <w:r>
        <w:rPr>
          <w:bCs/>
          <w:sz w:val="22"/>
          <w:szCs w:val="22"/>
          <w:lang w:val="en-IE"/>
        </w:rPr>
        <w:t xml:space="preserve"> </w:t>
      </w:r>
    </w:p>
    <w:p w14:paraId="52D261BB" w14:textId="77777777" w:rsidR="00F70092" w:rsidRDefault="00F70092" w:rsidP="000B70AB">
      <w:pPr>
        <w:ind w:left="720" w:hanging="720"/>
        <w:jc w:val="both"/>
        <w:rPr>
          <w:bCs/>
          <w:sz w:val="22"/>
          <w:szCs w:val="22"/>
          <w:lang w:val="en-IE"/>
        </w:rPr>
      </w:pPr>
    </w:p>
    <w:p w14:paraId="0E3C898F" w14:textId="1BB6293D" w:rsidR="00EF5ADA" w:rsidRDefault="00F70092" w:rsidP="000B70AB">
      <w:pPr>
        <w:ind w:left="720" w:hanging="720"/>
        <w:jc w:val="both"/>
        <w:rPr>
          <w:bCs/>
          <w:sz w:val="22"/>
          <w:szCs w:val="22"/>
          <w:lang w:val="en-IE"/>
        </w:rPr>
      </w:pPr>
      <w:r w:rsidRPr="00F70092">
        <w:rPr>
          <w:bCs/>
          <w:sz w:val="22"/>
          <w:szCs w:val="22"/>
          <w:lang w:val="en-IE"/>
        </w:rPr>
        <w:t xml:space="preserve">In </w:t>
      </w:r>
      <w:r>
        <w:rPr>
          <w:bCs/>
          <w:sz w:val="22"/>
          <w:szCs w:val="22"/>
          <w:lang w:val="en-IE"/>
        </w:rPr>
        <w:t xml:space="preserve">addition, there should be direct engagement with members of the NOC and SIGs to ascertain their views on the effectiveness of the governance and coordination structures. </w:t>
      </w:r>
      <w:r w:rsidR="00905A9A">
        <w:rPr>
          <w:bCs/>
          <w:sz w:val="22"/>
          <w:szCs w:val="22"/>
          <w:lang w:val="en-IE"/>
        </w:rPr>
        <w:t xml:space="preserve">There should be periodic reporting on the evaluation to </w:t>
      </w:r>
      <w:r w:rsidR="00EF5ADA">
        <w:rPr>
          <w:bCs/>
          <w:sz w:val="22"/>
          <w:szCs w:val="22"/>
          <w:lang w:val="en-IE"/>
        </w:rPr>
        <w:t>SIG 6</w:t>
      </w:r>
      <w:r w:rsidR="00D81348">
        <w:rPr>
          <w:bCs/>
          <w:sz w:val="22"/>
          <w:szCs w:val="22"/>
          <w:lang w:val="en-IE"/>
        </w:rPr>
        <w:t>, including a draft final report</w:t>
      </w:r>
      <w:r w:rsidR="00905A9A">
        <w:rPr>
          <w:bCs/>
          <w:sz w:val="22"/>
          <w:szCs w:val="22"/>
          <w:lang w:val="en-IE"/>
        </w:rPr>
        <w:t xml:space="preserve">. </w:t>
      </w:r>
    </w:p>
    <w:p w14:paraId="1E466790" w14:textId="77777777" w:rsidR="00EF5ADA" w:rsidRDefault="00EF5ADA" w:rsidP="000B70AB">
      <w:pPr>
        <w:ind w:left="720" w:hanging="720"/>
        <w:jc w:val="both"/>
        <w:rPr>
          <w:bCs/>
          <w:sz w:val="22"/>
          <w:szCs w:val="22"/>
          <w:lang w:val="en-IE"/>
        </w:rPr>
      </w:pPr>
    </w:p>
    <w:p w14:paraId="5E70E243" w14:textId="4C2E24BE" w:rsidR="00F70092" w:rsidRDefault="00905A9A" w:rsidP="000B70AB">
      <w:pPr>
        <w:ind w:left="720" w:hanging="720"/>
        <w:jc w:val="both"/>
        <w:rPr>
          <w:bCs/>
          <w:sz w:val="22"/>
          <w:szCs w:val="22"/>
          <w:lang w:val="en-IE"/>
        </w:rPr>
      </w:pPr>
      <w:r>
        <w:rPr>
          <w:bCs/>
          <w:sz w:val="22"/>
          <w:szCs w:val="22"/>
          <w:lang w:val="en-IE"/>
        </w:rPr>
        <w:t>L</w:t>
      </w:r>
      <w:r w:rsidR="00F70092">
        <w:rPr>
          <w:bCs/>
          <w:sz w:val="22"/>
          <w:szCs w:val="22"/>
          <w:lang w:val="en-IE"/>
        </w:rPr>
        <w:t>ine government departments, the HSE, AGS, and the social policy leads in the Dept of the Taoiseach</w:t>
      </w:r>
      <w:r w:rsidRPr="00905A9A">
        <w:rPr>
          <w:bCs/>
          <w:sz w:val="22"/>
          <w:szCs w:val="22"/>
          <w:lang w:val="en-IE"/>
        </w:rPr>
        <w:t xml:space="preserve"> </w:t>
      </w:r>
      <w:r>
        <w:rPr>
          <w:bCs/>
          <w:sz w:val="22"/>
          <w:szCs w:val="22"/>
          <w:lang w:val="en-IE"/>
        </w:rPr>
        <w:t xml:space="preserve">should </w:t>
      </w:r>
      <w:proofErr w:type="gramStart"/>
      <w:r>
        <w:rPr>
          <w:bCs/>
          <w:sz w:val="22"/>
          <w:szCs w:val="22"/>
          <w:lang w:val="en-IE"/>
        </w:rPr>
        <w:t>be consulted</w:t>
      </w:r>
      <w:proofErr w:type="gramEnd"/>
      <w:r w:rsidR="00F70092">
        <w:rPr>
          <w:bCs/>
          <w:sz w:val="22"/>
          <w:szCs w:val="22"/>
          <w:lang w:val="en-IE"/>
        </w:rPr>
        <w:t xml:space="preserve">. </w:t>
      </w:r>
      <w:r w:rsidR="00126972">
        <w:rPr>
          <w:bCs/>
          <w:sz w:val="22"/>
          <w:szCs w:val="22"/>
          <w:lang w:val="en-IE"/>
        </w:rPr>
        <w:t xml:space="preserve">The views of the Oireachtas </w:t>
      </w:r>
      <w:r w:rsidR="00CC55E9">
        <w:rPr>
          <w:bCs/>
          <w:sz w:val="22"/>
          <w:szCs w:val="22"/>
          <w:lang w:val="en-IE"/>
        </w:rPr>
        <w:t>Cttee</w:t>
      </w:r>
      <w:r w:rsidR="00126972">
        <w:rPr>
          <w:bCs/>
          <w:sz w:val="22"/>
          <w:szCs w:val="22"/>
          <w:lang w:val="en-IE"/>
        </w:rPr>
        <w:t xml:space="preserve"> on Health and the Citizens Assembly on Drug Use (chair/secretariat) </w:t>
      </w:r>
      <w:r>
        <w:rPr>
          <w:bCs/>
          <w:sz w:val="22"/>
          <w:szCs w:val="22"/>
          <w:lang w:val="en-IE"/>
        </w:rPr>
        <w:t xml:space="preserve">and current and previous Ministers of State </w:t>
      </w:r>
      <w:r w:rsidR="00126972">
        <w:rPr>
          <w:bCs/>
          <w:sz w:val="22"/>
          <w:szCs w:val="22"/>
          <w:lang w:val="en-IE"/>
        </w:rPr>
        <w:t xml:space="preserve">should </w:t>
      </w:r>
      <w:proofErr w:type="gramStart"/>
      <w:r w:rsidR="00126972">
        <w:rPr>
          <w:bCs/>
          <w:sz w:val="22"/>
          <w:szCs w:val="22"/>
          <w:lang w:val="en-IE"/>
        </w:rPr>
        <w:t>be canvassed</w:t>
      </w:r>
      <w:proofErr w:type="gramEnd"/>
      <w:r w:rsidR="00126972">
        <w:rPr>
          <w:bCs/>
          <w:sz w:val="22"/>
          <w:szCs w:val="22"/>
          <w:lang w:val="en-IE"/>
        </w:rPr>
        <w:t xml:space="preserve">. </w:t>
      </w:r>
    </w:p>
    <w:p w14:paraId="3C323398" w14:textId="77777777" w:rsidR="00F70092" w:rsidRDefault="00F70092" w:rsidP="000B70AB">
      <w:pPr>
        <w:ind w:left="720" w:hanging="720"/>
        <w:jc w:val="both"/>
        <w:rPr>
          <w:bCs/>
          <w:sz w:val="22"/>
          <w:szCs w:val="22"/>
          <w:lang w:val="en-IE"/>
        </w:rPr>
      </w:pPr>
    </w:p>
    <w:p w14:paraId="22A105FC" w14:textId="266B0DDE" w:rsidR="00F70092" w:rsidRDefault="00F70092" w:rsidP="000B70AB">
      <w:pPr>
        <w:ind w:left="720" w:hanging="720"/>
        <w:jc w:val="both"/>
        <w:rPr>
          <w:bCs/>
          <w:sz w:val="22"/>
          <w:szCs w:val="22"/>
          <w:lang w:val="en-IE"/>
        </w:rPr>
      </w:pPr>
      <w:r>
        <w:rPr>
          <w:bCs/>
          <w:sz w:val="22"/>
          <w:szCs w:val="22"/>
          <w:lang w:val="en-IE"/>
        </w:rPr>
        <w:t xml:space="preserve">Finally, key officials in EU and international bodies on drugs should </w:t>
      </w:r>
      <w:proofErr w:type="gramStart"/>
      <w:r>
        <w:rPr>
          <w:bCs/>
          <w:sz w:val="22"/>
          <w:szCs w:val="22"/>
          <w:lang w:val="en-IE"/>
        </w:rPr>
        <w:t>be interviewed</w:t>
      </w:r>
      <w:proofErr w:type="gramEnd"/>
      <w:r>
        <w:rPr>
          <w:bCs/>
          <w:sz w:val="22"/>
          <w:szCs w:val="22"/>
          <w:lang w:val="en-IE"/>
        </w:rPr>
        <w:t xml:space="preserve">. </w:t>
      </w:r>
      <w:r w:rsidR="00E336E4">
        <w:rPr>
          <w:bCs/>
          <w:sz w:val="22"/>
          <w:szCs w:val="22"/>
          <w:lang w:val="en-IE"/>
        </w:rPr>
        <w:t xml:space="preserve">A comparative review of the national approach to drugs in Ireland with that of another EU member state and/or BIC administration should </w:t>
      </w:r>
      <w:proofErr w:type="gramStart"/>
      <w:r w:rsidR="00E336E4">
        <w:rPr>
          <w:bCs/>
          <w:sz w:val="22"/>
          <w:szCs w:val="22"/>
          <w:lang w:val="en-IE"/>
        </w:rPr>
        <w:t>be considered</w:t>
      </w:r>
      <w:proofErr w:type="gramEnd"/>
      <w:r w:rsidR="00E336E4">
        <w:rPr>
          <w:bCs/>
          <w:sz w:val="22"/>
          <w:szCs w:val="22"/>
          <w:lang w:val="en-IE"/>
        </w:rPr>
        <w:t xml:space="preserve">. </w:t>
      </w:r>
      <w:r w:rsidR="0025523D">
        <w:rPr>
          <w:bCs/>
          <w:sz w:val="22"/>
          <w:szCs w:val="22"/>
          <w:lang w:val="en-IE"/>
        </w:rPr>
        <w:t xml:space="preserve">The evaluation should </w:t>
      </w:r>
      <w:proofErr w:type="gramStart"/>
      <w:r w:rsidR="0025523D">
        <w:rPr>
          <w:bCs/>
          <w:sz w:val="22"/>
          <w:szCs w:val="22"/>
          <w:lang w:val="en-IE"/>
        </w:rPr>
        <w:t>take into account</w:t>
      </w:r>
      <w:proofErr w:type="gramEnd"/>
      <w:r w:rsidR="0025523D">
        <w:rPr>
          <w:bCs/>
          <w:sz w:val="22"/>
          <w:szCs w:val="22"/>
          <w:lang w:val="en-IE"/>
        </w:rPr>
        <w:t xml:space="preserve"> the rapid expert review of the 2009-2016 strategy, which was used to inform the current strategy.  </w:t>
      </w:r>
    </w:p>
    <w:p w14:paraId="4F420FC9" w14:textId="77777777" w:rsidR="00EF5ADA" w:rsidRPr="00F70092" w:rsidRDefault="00EF5ADA" w:rsidP="000B70AB">
      <w:pPr>
        <w:ind w:left="720" w:hanging="720"/>
        <w:jc w:val="both"/>
        <w:rPr>
          <w:bCs/>
          <w:sz w:val="22"/>
          <w:szCs w:val="22"/>
          <w:lang w:val="en-IE"/>
        </w:rPr>
      </w:pPr>
    </w:p>
    <w:p w14:paraId="53BBF257" w14:textId="77777777" w:rsidR="00F70092" w:rsidRPr="00F70092" w:rsidRDefault="00F70092" w:rsidP="000B70AB">
      <w:pPr>
        <w:ind w:left="720" w:hanging="720"/>
        <w:jc w:val="both"/>
        <w:rPr>
          <w:bCs/>
          <w:sz w:val="22"/>
          <w:szCs w:val="22"/>
          <w:lang w:val="en-IE"/>
        </w:rPr>
      </w:pPr>
    </w:p>
    <w:p w14:paraId="200C6187" w14:textId="030AF0DB" w:rsidR="000B70AB" w:rsidRPr="000B70AB" w:rsidRDefault="000B70AB" w:rsidP="000B70AB">
      <w:pPr>
        <w:ind w:left="720" w:hanging="720"/>
        <w:jc w:val="both"/>
        <w:rPr>
          <w:b/>
          <w:sz w:val="22"/>
          <w:szCs w:val="22"/>
          <w:lang w:val="en-IE"/>
        </w:rPr>
      </w:pPr>
      <w:r w:rsidRPr="000B70AB">
        <w:rPr>
          <w:b/>
          <w:sz w:val="22"/>
          <w:szCs w:val="22"/>
          <w:lang w:val="en-IE"/>
        </w:rPr>
        <w:t> </w:t>
      </w:r>
    </w:p>
    <w:p w14:paraId="16063E7A" w14:textId="0CC6329E" w:rsidR="000B70AB" w:rsidRPr="000B70AB" w:rsidRDefault="000B70AB" w:rsidP="000B70AB">
      <w:pPr>
        <w:ind w:left="720" w:hanging="720"/>
        <w:jc w:val="both"/>
        <w:rPr>
          <w:b/>
          <w:sz w:val="22"/>
          <w:szCs w:val="22"/>
          <w:lang w:val="en-IE"/>
        </w:rPr>
      </w:pPr>
      <w:r w:rsidRPr="000B70AB">
        <w:rPr>
          <w:b/>
          <w:bCs/>
          <w:sz w:val="22"/>
          <w:szCs w:val="22"/>
          <w:lang w:val="en-IE"/>
        </w:rPr>
        <w:t xml:space="preserve">2.2        </w:t>
      </w:r>
      <w:r w:rsidRPr="000B70AB">
        <w:rPr>
          <w:b/>
          <w:sz w:val="22"/>
          <w:szCs w:val="22"/>
          <w:lang w:val="en-IE"/>
        </w:rPr>
        <w:t xml:space="preserve">It </w:t>
      </w:r>
      <w:proofErr w:type="gramStart"/>
      <w:r w:rsidRPr="000B70AB">
        <w:rPr>
          <w:b/>
          <w:sz w:val="22"/>
          <w:szCs w:val="22"/>
          <w:lang w:val="en-IE"/>
        </w:rPr>
        <w:t>is proposed</w:t>
      </w:r>
      <w:proofErr w:type="gramEnd"/>
      <w:r w:rsidRPr="000B70AB">
        <w:rPr>
          <w:b/>
          <w:sz w:val="22"/>
          <w:szCs w:val="22"/>
          <w:lang w:val="en-IE"/>
        </w:rPr>
        <w:t xml:space="preserve"> to award a contract for a period of </w:t>
      </w:r>
      <w:r w:rsidRPr="000B70AB">
        <w:rPr>
          <w:b/>
          <w:bCs/>
          <w:color w:val="FF0000"/>
          <w:sz w:val="22"/>
          <w:szCs w:val="22"/>
          <w:lang w:val="en-IE"/>
        </w:rPr>
        <w:t>4 months</w:t>
      </w:r>
      <w:r w:rsidRPr="000B70AB">
        <w:rPr>
          <w:b/>
          <w:bCs/>
          <w:sz w:val="22"/>
          <w:szCs w:val="22"/>
          <w:lang w:val="en-IE"/>
        </w:rPr>
        <w:t>, with an</w:t>
      </w:r>
      <w:r w:rsidR="007943E8">
        <w:rPr>
          <w:b/>
          <w:bCs/>
          <w:sz w:val="22"/>
          <w:szCs w:val="22"/>
          <w:lang w:val="en-IE"/>
        </w:rPr>
        <w:t xml:space="preserve"> indicative timeline of work starting, end of </w:t>
      </w:r>
      <w:r w:rsidR="007943E8" w:rsidRPr="007943E8">
        <w:rPr>
          <w:b/>
          <w:bCs/>
          <w:color w:val="FF0000"/>
          <w:sz w:val="22"/>
          <w:szCs w:val="22"/>
          <w:lang w:val="en-IE"/>
        </w:rPr>
        <w:t>Nov 2024,</w:t>
      </w:r>
      <w:r w:rsidRPr="007943E8">
        <w:rPr>
          <w:b/>
          <w:bCs/>
          <w:color w:val="FF0000"/>
          <w:sz w:val="22"/>
          <w:szCs w:val="22"/>
          <w:lang w:val="en-IE"/>
        </w:rPr>
        <w:t xml:space="preserve"> </w:t>
      </w:r>
      <w:r w:rsidRPr="000B70AB">
        <w:rPr>
          <w:b/>
          <w:bCs/>
          <w:sz w:val="22"/>
          <w:szCs w:val="22"/>
          <w:lang w:val="en-IE"/>
        </w:rPr>
        <w:t xml:space="preserve">interim report by end </w:t>
      </w:r>
      <w:r w:rsidR="00DA12CE" w:rsidRPr="000B70AB">
        <w:rPr>
          <w:b/>
          <w:bCs/>
          <w:sz w:val="22"/>
          <w:szCs w:val="22"/>
          <w:lang w:val="en-IE"/>
        </w:rPr>
        <w:t xml:space="preserve">of </w:t>
      </w:r>
      <w:r w:rsidR="00DA12CE" w:rsidRPr="000B70AB">
        <w:rPr>
          <w:b/>
          <w:bCs/>
          <w:color w:val="FF0000"/>
          <w:sz w:val="22"/>
          <w:szCs w:val="22"/>
          <w:lang w:val="en-IE"/>
        </w:rPr>
        <w:t>Jan</w:t>
      </w:r>
      <w:r w:rsidR="007943E8">
        <w:rPr>
          <w:b/>
          <w:bCs/>
          <w:color w:val="FF0000"/>
          <w:sz w:val="22"/>
          <w:szCs w:val="22"/>
          <w:lang w:val="en-IE"/>
        </w:rPr>
        <w:t xml:space="preserve"> </w:t>
      </w:r>
      <w:r w:rsidRPr="000B70AB">
        <w:rPr>
          <w:b/>
          <w:bCs/>
          <w:color w:val="FF0000"/>
          <w:sz w:val="22"/>
          <w:szCs w:val="22"/>
          <w:lang w:val="en-IE"/>
        </w:rPr>
        <w:t>202</w:t>
      </w:r>
      <w:r w:rsidR="00DA12CE">
        <w:rPr>
          <w:b/>
          <w:bCs/>
          <w:color w:val="FF0000"/>
          <w:sz w:val="22"/>
          <w:szCs w:val="22"/>
          <w:lang w:val="en-IE"/>
        </w:rPr>
        <w:t>5</w:t>
      </w:r>
      <w:r w:rsidRPr="000B70AB">
        <w:rPr>
          <w:b/>
          <w:bCs/>
          <w:color w:val="FF0000"/>
          <w:sz w:val="22"/>
          <w:szCs w:val="22"/>
          <w:lang w:val="en-IE"/>
        </w:rPr>
        <w:t xml:space="preserve"> </w:t>
      </w:r>
      <w:r w:rsidRPr="000B70AB">
        <w:rPr>
          <w:b/>
          <w:bCs/>
          <w:sz w:val="22"/>
          <w:szCs w:val="22"/>
          <w:lang w:val="en-IE"/>
        </w:rPr>
        <w:t xml:space="preserve">and a draft final report by </w:t>
      </w:r>
      <w:r w:rsidR="007943E8">
        <w:rPr>
          <w:b/>
          <w:bCs/>
          <w:color w:val="FF0000"/>
          <w:sz w:val="22"/>
          <w:szCs w:val="22"/>
          <w:lang w:val="en-IE"/>
        </w:rPr>
        <w:t xml:space="preserve">end of Feb </w:t>
      </w:r>
      <w:r w:rsidRPr="000B70AB">
        <w:rPr>
          <w:b/>
          <w:bCs/>
          <w:color w:val="FF0000"/>
          <w:sz w:val="22"/>
          <w:szCs w:val="22"/>
          <w:lang w:val="en-IE"/>
        </w:rPr>
        <w:t>2025</w:t>
      </w:r>
      <w:r w:rsidRPr="000B70AB">
        <w:rPr>
          <w:b/>
          <w:bCs/>
          <w:sz w:val="22"/>
          <w:szCs w:val="22"/>
          <w:lang w:val="en-IE"/>
        </w:rPr>
        <w:t xml:space="preserve">. </w:t>
      </w:r>
      <w:r w:rsidRPr="000B70AB">
        <w:rPr>
          <w:b/>
          <w:sz w:val="22"/>
          <w:szCs w:val="22"/>
          <w:lang w:val="en-IE"/>
        </w:rPr>
        <w:t xml:space="preserve">The contract will commence when the order for </w:t>
      </w:r>
      <w:proofErr w:type="gramStart"/>
      <w:r w:rsidRPr="000B70AB">
        <w:rPr>
          <w:b/>
          <w:sz w:val="22"/>
          <w:szCs w:val="22"/>
          <w:lang w:val="en-IE"/>
        </w:rPr>
        <w:t>Services is sent by the Client</w:t>
      </w:r>
      <w:proofErr w:type="gramEnd"/>
      <w:r w:rsidRPr="000B70AB">
        <w:rPr>
          <w:b/>
          <w:sz w:val="22"/>
          <w:szCs w:val="22"/>
          <w:lang w:val="en-IE"/>
        </w:rPr>
        <w:t xml:space="preserve"> to the successful tenderer.</w:t>
      </w:r>
    </w:p>
    <w:p w14:paraId="0752B11A" w14:textId="77777777" w:rsidR="005A067C" w:rsidRPr="006C104F" w:rsidRDefault="005A067C" w:rsidP="005A067C">
      <w:pPr>
        <w:ind w:left="720" w:hanging="720"/>
        <w:jc w:val="both"/>
        <w:rPr>
          <w:b/>
          <w:sz w:val="22"/>
          <w:szCs w:val="22"/>
        </w:rPr>
      </w:pPr>
    </w:p>
    <w:p w14:paraId="6AEBD4AE" w14:textId="59D3E84D" w:rsidR="004A6949" w:rsidRPr="006C104F" w:rsidRDefault="004A6949" w:rsidP="004A6949">
      <w:pPr>
        <w:ind w:left="720" w:hanging="720"/>
        <w:jc w:val="both"/>
        <w:rPr>
          <w:b/>
          <w:sz w:val="22"/>
          <w:szCs w:val="22"/>
        </w:rPr>
      </w:pPr>
      <w:r w:rsidRPr="006C104F">
        <w:rPr>
          <w:b/>
          <w:sz w:val="22"/>
          <w:szCs w:val="22"/>
        </w:rPr>
        <w:t>3.</w:t>
      </w:r>
      <w:r w:rsidRPr="006C104F">
        <w:rPr>
          <w:b/>
          <w:sz w:val="22"/>
          <w:szCs w:val="22"/>
        </w:rPr>
        <w:tab/>
        <w:t xml:space="preserve">FORMAT OF </w:t>
      </w:r>
      <w:r w:rsidR="00E75520" w:rsidRPr="006C104F">
        <w:rPr>
          <w:b/>
          <w:sz w:val="22"/>
          <w:szCs w:val="22"/>
        </w:rPr>
        <w:t xml:space="preserve">TENDER </w:t>
      </w:r>
      <w:r w:rsidRPr="006C104F">
        <w:rPr>
          <w:b/>
          <w:sz w:val="22"/>
          <w:szCs w:val="22"/>
        </w:rPr>
        <w:t xml:space="preserve">PROPOSALS </w:t>
      </w:r>
    </w:p>
    <w:p w14:paraId="27237C3A" w14:textId="77777777" w:rsidR="00CF32F7" w:rsidRPr="006C104F" w:rsidRDefault="00CF32F7" w:rsidP="004A6949">
      <w:pPr>
        <w:ind w:left="720" w:hanging="720"/>
        <w:jc w:val="both"/>
        <w:rPr>
          <w:b/>
          <w:sz w:val="22"/>
          <w:szCs w:val="22"/>
        </w:rPr>
      </w:pPr>
    </w:p>
    <w:p w14:paraId="79983951" w14:textId="53F1C378" w:rsidR="00CF32F7" w:rsidRPr="006C104F" w:rsidRDefault="00791EA5" w:rsidP="00791EA5">
      <w:pPr>
        <w:ind w:left="720" w:hanging="720"/>
        <w:jc w:val="both"/>
        <w:rPr>
          <w:sz w:val="22"/>
          <w:szCs w:val="22"/>
        </w:rPr>
      </w:pPr>
      <w:r w:rsidRPr="006C104F">
        <w:rPr>
          <w:sz w:val="22"/>
          <w:szCs w:val="22"/>
        </w:rPr>
        <w:t>3.1</w:t>
      </w:r>
      <w:r w:rsidRPr="006C104F">
        <w:rPr>
          <w:sz w:val="22"/>
          <w:szCs w:val="22"/>
        </w:rPr>
        <w:tab/>
      </w:r>
      <w:r w:rsidR="00CF32F7" w:rsidRPr="006C104F">
        <w:rPr>
          <w:sz w:val="22"/>
          <w:szCs w:val="22"/>
        </w:rPr>
        <w:t xml:space="preserve">If you are interested in submitting a </w:t>
      </w:r>
      <w:r w:rsidR="00FA16EE" w:rsidRPr="006C104F">
        <w:rPr>
          <w:sz w:val="22"/>
          <w:szCs w:val="22"/>
        </w:rPr>
        <w:t>tender proposal this document</w:t>
      </w:r>
      <w:r w:rsidR="00CF32F7" w:rsidRPr="006C104F">
        <w:rPr>
          <w:sz w:val="22"/>
          <w:szCs w:val="22"/>
        </w:rPr>
        <w:t xml:space="preserve"> sets </w:t>
      </w:r>
      <w:r w:rsidR="00FA16EE" w:rsidRPr="006C104F">
        <w:rPr>
          <w:sz w:val="22"/>
          <w:szCs w:val="22"/>
        </w:rPr>
        <w:t>out: information</w:t>
      </w:r>
      <w:r w:rsidR="00BC11A6" w:rsidRPr="006C104F">
        <w:rPr>
          <w:sz w:val="22"/>
          <w:szCs w:val="22"/>
        </w:rPr>
        <w:t xml:space="preserve"> you will need to</w:t>
      </w:r>
      <w:r w:rsidR="00FA16EE" w:rsidRPr="006C104F">
        <w:rPr>
          <w:sz w:val="22"/>
          <w:szCs w:val="22"/>
        </w:rPr>
        <w:t xml:space="preserve"> submit in your tender proposal </w:t>
      </w:r>
      <w:r w:rsidR="00326D4E" w:rsidRPr="006C104F">
        <w:rPr>
          <w:sz w:val="22"/>
          <w:szCs w:val="22"/>
        </w:rPr>
        <w:t>(section</w:t>
      </w:r>
      <w:r w:rsidR="00FA16EE" w:rsidRPr="006C104F">
        <w:rPr>
          <w:sz w:val="22"/>
          <w:szCs w:val="22"/>
        </w:rPr>
        <w:t xml:space="preserve"> 3</w:t>
      </w:r>
      <w:r w:rsidRPr="006C104F">
        <w:rPr>
          <w:sz w:val="22"/>
          <w:szCs w:val="22"/>
        </w:rPr>
        <w:t xml:space="preserve"> and 4</w:t>
      </w:r>
      <w:r w:rsidR="00FA16EE" w:rsidRPr="006C104F">
        <w:rPr>
          <w:sz w:val="22"/>
          <w:szCs w:val="22"/>
        </w:rPr>
        <w:t xml:space="preserve"> of the RFQ)</w:t>
      </w:r>
      <w:r w:rsidR="00326D4E" w:rsidRPr="006C104F">
        <w:rPr>
          <w:sz w:val="22"/>
          <w:szCs w:val="22"/>
        </w:rPr>
        <w:t>, how</w:t>
      </w:r>
      <w:r w:rsidR="00FA16EE" w:rsidRPr="006C104F">
        <w:rPr>
          <w:sz w:val="22"/>
          <w:szCs w:val="22"/>
        </w:rPr>
        <w:t xml:space="preserve"> the Department </w:t>
      </w:r>
      <w:r w:rsidR="00CF32F7" w:rsidRPr="006C104F">
        <w:rPr>
          <w:sz w:val="22"/>
          <w:szCs w:val="22"/>
        </w:rPr>
        <w:t>will evaluate your tender</w:t>
      </w:r>
      <w:r w:rsidR="00D15A8C" w:rsidRPr="006C104F">
        <w:rPr>
          <w:sz w:val="22"/>
          <w:szCs w:val="22"/>
        </w:rPr>
        <w:t xml:space="preserve"> proposal</w:t>
      </w:r>
      <w:r w:rsidR="00FA16EE" w:rsidRPr="006C104F">
        <w:rPr>
          <w:sz w:val="22"/>
          <w:szCs w:val="22"/>
        </w:rPr>
        <w:t xml:space="preserve"> (see Section 4</w:t>
      </w:r>
      <w:r w:rsidR="00CF32F7" w:rsidRPr="006C104F">
        <w:rPr>
          <w:sz w:val="22"/>
          <w:szCs w:val="22"/>
        </w:rPr>
        <w:t xml:space="preserve"> below), how to submit your tender</w:t>
      </w:r>
      <w:r w:rsidR="00FA16EE" w:rsidRPr="006C104F">
        <w:rPr>
          <w:sz w:val="22"/>
          <w:szCs w:val="22"/>
        </w:rPr>
        <w:t xml:space="preserve"> </w:t>
      </w:r>
      <w:r w:rsidR="003A7A2B" w:rsidRPr="006C104F">
        <w:rPr>
          <w:sz w:val="22"/>
          <w:szCs w:val="22"/>
        </w:rPr>
        <w:t>proposal (</w:t>
      </w:r>
      <w:r w:rsidRPr="006C104F">
        <w:rPr>
          <w:sz w:val="22"/>
          <w:szCs w:val="22"/>
        </w:rPr>
        <w:t xml:space="preserve">see </w:t>
      </w:r>
      <w:r w:rsidR="00FA16EE" w:rsidRPr="006C104F">
        <w:rPr>
          <w:sz w:val="22"/>
          <w:szCs w:val="22"/>
        </w:rPr>
        <w:t xml:space="preserve">section </w:t>
      </w:r>
      <w:r w:rsidR="001E1371" w:rsidRPr="006C104F">
        <w:rPr>
          <w:sz w:val="22"/>
          <w:szCs w:val="22"/>
        </w:rPr>
        <w:t xml:space="preserve">6 </w:t>
      </w:r>
      <w:r w:rsidR="00CF32F7" w:rsidRPr="006C104F">
        <w:rPr>
          <w:sz w:val="22"/>
          <w:szCs w:val="22"/>
        </w:rPr>
        <w:t>below</w:t>
      </w:r>
      <w:r w:rsidR="002F4B94" w:rsidRPr="006C104F">
        <w:rPr>
          <w:sz w:val="22"/>
          <w:szCs w:val="22"/>
        </w:rPr>
        <w:t>) and</w:t>
      </w:r>
      <w:r w:rsidR="00D15A8C" w:rsidRPr="006C104F">
        <w:rPr>
          <w:sz w:val="22"/>
          <w:szCs w:val="22"/>
        </w:rPr>
        <w:t xml:space="preserve"> </w:t>
      </w:r>
      <w:r w:rsidR="00CF32F7" w:rsidRPr="006C104F">
        <w:rPr>
          <w:sz w:val="22"/>
          <w:szCs w:val="22"/>
        </w:rPr>
        <w:t xml:space="preserve">how you can ask queries prior to responding (see </w:t>
      </w:r>
      <w:r w:rsidR="00FA16EE" w:rsidRPr="006C104F">
        <w:rPr>
          <w:sz w:val="22"/>
          <w:szCs w:val="22"/>
        </w:rPr>
        <w:t>section</w:t>
      </w:r>
      <w:r w:rsidRPr="006C104F">
        <w:rPr>
          <w:sz w:val="22"/>
          <w:szCs w:val="22"/>
        </w:rPr>
        <w:t xml:space="preserve"> 6</w:t>
      </w:r>
      <w:r w:rsidR="00D15A8C" w:rsidRPr="006C104F">
        <w:rPr>
          <w:sz w:val="22"/>
          <w:szCs w:val="22"/>
        </w:rPr>
        <w:t xml:space="preserve"> below).</w:t>
      </w:r>
    </w:p>
    <w:p w14:paraId="1F6B2B58" w14:textId="77777777" w:rsidR="00FA16EE" w:rsidRPr="006C104F" w:rsidRDefault="00FA16EE" w:rsidP="004A6949">
      <w:pPr>
        <w:jc w:val="both"/>
        <w:rPr>
          <w:b/>
          <w:sz w:val="22"/>
          <w:szCs w:val="22"/>
        </w:rPr>
      </w:pPr>
    </w:p>
    <w:p w14:paraId="7C4A57CE" w14:textId="537D051E" w:rsidR="004A6949" w:rsidRPr="006C104F" w:rsidRDefault="004A6949" w:rsidP="004A6949">
      <w:pPr>
        <w:ind w:left="709" w:hanging="709"/>
        <w:jc w:val="both"/>
        <w:rPr>
          <w:color w:val="000000"/>
          <w:sz w:val="22"/>
          <w:szCs w:val="22"/>
        </w:rPr>
      </w:pPr>
      <w:r w:rsidRPr="006C104F">
        <w:rPr>
          <w:color w:val="000000"/>
          <w:sz w:val="22"/>
          <w:szCs w:val="22"/>
        </w:rPr>
        <w:t>3.</w:t>
      </w:r>
      <w:r w:rsidR="00791EA5" w:rsidRPr="006C104F">
        <w:rPr>
          <w:color w:val="000000"/>
          <w:sz w:val="22"/>
          <w:szCs w:val="22"/>
        </w:rPr>
        <w:t>2</w:t>
      </w:r>
      <w:r w:rsidRPr="006C104F">
        <w:rPr>
          <w:color w:val="000000"/>
          <w:sz w:val="22"/>
          <w:szCs w:val="22"/>
        </w:rPr>
        <w:t xml:space="preserve">     The</w:t>
      </w:r>
      <w:r w:rsidR="0001648E" w:rsidRPr="006C104F">
        <w:rPr>
          <w:color w:val="000000"/>
          <w:sz w:val="22"/>
          <w:szCs w:val="22"/>
        </w:rPr>
        <w:t xml:space="preserve"> tender</w:t>
      </w:r>
      <w:r w:rsidRPr="006C104F">
        <w:rPr>
          <w:color w:val="000000"/>
          <w:sz w:val="22"/>
          <w:szCs w:val="22"/>
        </w:rPr>
        <w:t xml:space="preserve"> proposal</w:t>
      </w:r>
      <w:r w:rsidR="0001648E" w:rsidRPr="006C104F">
        <w:rPr>
          <w:color w:val="000000"/>
          <w:sz w:val="22"/>
          <w:szCs w:val="22"/>
        </w:rPr>
        <w:t xml:space="preserve"> must</w:t>
      </w:r>
      <w:r w:rsidRPr="006C104F">
        <w:rPr>
          <w:color w:val="000000"/>
          <w:sz w:val="22"/>
          <w:szCs w:val="22"/>
        </w:rPr>
        <w:t>:</w:t>
      </w:r>
    </w:p>
    <w:p w14:paraId="4B177924" w14:textId="77777777" w:rsidR="004A6949" w:rsidRPr="006C104F" w:rsidRDefault="004A6949" w:rsidP="004A6949">
      <w:pPr>
        <w:ind w:left="567" w:hanging="567"/>
        <w:jc w:val="both"/>
        <w:rPr>
          <w:color w:val="000000"/>
          <w:sz w:val="22"/>
          <w:szCs w:val="22"/>
        </w:rPr>
      </w:pPr>
    </w:p>
    <w:p w14:paraId="5E8F24EE" w14:textId="27440C05" w:rsidR="004A6949" w:rsidRPr="006C104F" w:rsidRDefault="00642EED" w:rsidP="004A6949">
      <w:pPr>
        <w:numPr>
          <w:ilvl w:val="0"/>
          <w:numId w:val="4"/>
        </w:numPr>
        <w:spacing w:after="200"/>
        <w:jc w:val="both"/>
        <w:rPr>
          <w:sz w:val="22"/>
          <w:szCs w:val="22"/>
        </w:rPr>
      </w:pPr>
      <w:r w:rsidRPr="006C104F">
        <w:rPr>
          <w:sz w:val="22"/>
          <w:szCs w:val="22"/>
        </w:rPr>
        <w:t>D</w:t>
      </w:r>
      <w:r w:rsidR="004A6949" w:rsidRPr="006C104F">
        <w:rPr>
          <w:sz w:val="22"/>
          <w:szCs w:val="22"/>
        </w:rPr>
        <w:t xml:space="preserve">emonstrate an understanding of the </w:t>
      </w:r>
      <w:r w:rsidR="00E75520" w:rsidRPr="006C104F">
        <w:rPr>
          <w:sz w:val="22"/>
          <w:szCs w:val="22"/>
        </w:rPr>
        <w:t xml:space="preserve">Services </w:t>
      </w:r>
      <w:r w:rsidR="00CF32F7" w:rsidRPr="006C104F">
        <w:rPr>
          <w:sz w:val="22"/>
          <w:szCs w:val="22"/>
        </w:rPr>
        <w:t xml:space="preserve">required </w:t>
      </w:r>
      <w:r w:rsidR="00E75520" w:rsidRPr="006C104F">
        <w:rPr>
          <w:sz w:val="22"/>
          <w:szCs w:val="22"/>
        </w:rPr>
        <w:t>as set ou</w:t>
      </w:r>
      <w:r w:rsidR="00791EA5" w:rsidRPr="006C104F">
        <w:rPr>
          <w:sz w:val="22"/>
          <w:szCs w:val="22"/>
        </w:rPr>
        <w:t xml:space="preserve">t in greater detail at section 4 (Part A) </w:t>
      </w:r>
      <w:proofErr w:type="gramStart"/>
      <w:r w:rsidR="00791EA5" w:rsidRPr="006C104F">
        <w:rPr>
          <w:sz w:val="22"/>
          <w:szCs w:val="22"/>
        </w:rPr>
        <w:t>below;</w:t>
      </w:r>
      <w:proofErr w:type="gramEnd"/>
      <w:r w:rsidR="00791EA5" w:rsidRPr="006C104F">
        <w:rPr>
          <w:sz w:val="22"/>
          <w:szCs w:val="22"/>
        </w:rPr>
        <w:t xml:space="preserve"> </w:t>
      </w:r>
    </w:p>
    <w:p w14:paraId="6A380A42" w14:textId="60485F5C" w:rsidR="00E5144A" w:rsidRPr="006C104F" w:rsidRDefault="00642EED" w:rsidP="002A15B8">
      <w:pPr>
        <w:numPr>
          <w:ilvl w:val="0"/>
          <w:numId w:val="4"/>
        </w:numPr>
        <w:spacing w:after="200"/>
        <w:jc w:val="both"/>
        <w:rPr>
          <w:sz w:val="22"/>
          <w:szCs w:val="22"/>
        </w:rPr>
      </w:pPr>
      <w:r w:rsidRPr="006C104F">
        <w:rPr>
          <w:sz w:val="22"/>
          <w:szCs w:val="22"/>
        </w:rPr>
        <w:t>S</w:t>
      </w:r>
      <w:r w:rsidR="004A6949" w:rsidRPr="006C104F">
        <w:rPr>
          <w:sz w:val="22"/>
          <w:szCs w:val="22"/>
        </w:rPr>
        <w:t xml:space="preserve">tate the name, address, telephone, and email address of the </w:t>
      </w:r>
      <w:r w:rsidR="002A15B8" w:rsidRPr="006C104F">
        <w:rPr>
          <w:sz w:val="22"/>
          <w:szCs w:val="22"/>
        </w:rPr>
        <w:t xml:space="preserve">lead </w:t>
      </w:r>
      <w:r w:rsidR="004A6949" w:rsidRPr="006C104F">
        <w:rPr>
          <w:sz w:val="22"/>
          <w:szCs w:val="22"/>
        </w:rPr>
        <w:t>person(s)</w:t>
      </w:r>
      <w:r w:rsidR="00E5144A" w:rsidRPr="006C104F">
        <w:rPr>
          <w:b/>
          <w:sz w:val="22"/>
          <w:szCs w:val="22"/>
        </w:rPr>
        <w:t xml:space="preserve"> involved in providing the Services</w:t>
      </w:r>
    </w:p>
    <w:p w14:paraId="3488A9E9" w14:textId="21095C12" w:rsidR="002A15B8" w:rsidRPr="006C104F" w:rsidRDefault="00E5144A" w:rsidP="002A15B8">
      <w:pPr>
        <w:numPr>
          <w:ilvl w:val="0"/>
          <w:numId w:val="4"/>
        </w:numPr>
        <w:spacing w:after="200"/>
        <w:jc w:val="both"/>
        <w:rPr>
          <w:sz w:val="22"/>
          <w:szCs w:val="22"/>
        </w:rPr>
      </w:pPr>
      <w:r w:rsidRPr="006C104F">
        <w:rPr>
          <w:b/>
          <w:sz w:val="22"/>
          <w:szCs w:val="22"/>
        </w:rPr>
        <w:t xml:space="preserve">Respond to and address the qualitative award criteria set out in section 4 </w:t>
      </w:r>
      <w:proofErr w:type="gramStart"/>
      <w:r w:rsidRPr="006C104F">
        <w:rPr>
          <w:b/>
          <w:sz w:val="22"/>
          <w:szCs w:val="22"/>
        </w:rPr>
        <w:t>below</w:t>
      </w:r>
      <w:r w:rsidR="00642EED" w:rsidRPr="006C104F">
        <w:rPr>
          <w:sz w:val="22"/>
          <w:szCs w:val="22"/>
        </w:rPr>
        <w:t>;</w:t>
      </w:r>
      <w:proofErr w:type="gramEnd"/>
    </w:p>
    <w:p w14:paraId="4A9B2EA3" w14:textId="59AF065F" w:rsidR="004A6949" w:rsidRPr="006C104F" w:rsidRDefault="002A15B8" w:rsidP="00791EA5">
      <w:pPr>
        <w:numPr>
          <w:ilvl w:val="0"/>
          <w:numId w:val="4"/>
        </w:numPr>
        <w:spacing w:after="200"/>
        <w:jc w:val="both"/>
        <w:rPr>
          <w:sz w:val="22"/>
          <w:szCs w:val="22"/>
        </w:rPr>
      </w:pPr>
      <w:r w:rsidRPr="006C104F">
        <w:rPr>
          <w:sz w:val="22"/>
          <w:szCs w:val="22"/>
        </w:rPr>
        <w:t xml:space="preserve">Confirm that the </w:t>
      </w:r>
      <w:r w:rsidR="00FA16EE" w:rsidRPr="006C104F">
        <w:rPr>
          <w:sz w:val="22"/>
          <w:szCs w:val="22"/>
        </w:rPr>
        <w:t xml:space="preserve">Services </w:t>
      </w:r>
      <w:r w:rsidRPr="006C104F">
        <w:rPr>
          <w:sz w:val="22"/>
          <w:szCs w:val="22"/>
        </w:rPr>
        <w:t xml:space="preserve">as specified in this RFQ </w:t>
      </w:r>
      <w:r w:rsidR="004A6949" w:rsidRPr="006C104F">
        <w:rPr>
          <w:sz w:val="22"/>
          <w:szCs w:val="22"/>
        </w:rPr>
        <w:t>will be</w:t>
      </w:r>
      <w:r w:rsidR="004147B6" w:rsidRPr="006C104F">
        <w:rPr>
          <w:sz w:val="22"/>
          <w:szCs w:val="22"/>
        </w:rPr>
        <w:t xml:space="preserve"> completed </w:t>
      </w:r>
      <w:r w:rsidR="004A6949" w:rsidRPr="006C104F">
        <w:rPr>
          <w:sz w:val="22"/>
          <w:szCs w:val="22"/>
        </w:rPr>
        <w:t>within the timescale set out</w:t>
      </w:r>
      <w:r w:rsidR="00791EA5" w:rsidRPr="006C104F">
        <w:rPr>
          <w:sz w:val="22"/>
          <w:szCs w:val="22"/>
        </w:rPr>
        <w:t xml:space="preserve"> at section 2</w:t>
      </w:r>
      <w:r w:rsidR="00FA16EE" w:rsidRPr="006C104F">
        <w:rPr>
          <w:sz w:val="22"/>
          <w:szCs w:val="22"/>
        </w:rPr>
        <w:t xml:space="preserve"> above</w:t>
      </w:r>
      <w:r w:rsidR="004A6949" w:rsidRPr="006C104F">
        <w:rPr>
          <w:sz w:val="22"/>
          <w:szCs w:val="22"/>
        </w:rPr>
        <w:t>;</w:t>
      </w:r>
      <w:r w:rsidR="00791EA5" w:rsidRPr="006C104F">
        <w:rPr>
          <w:sz w:val="22"/>
          <w:szCs w:val="22"/>
        </w:rPr>
        <w:t xml:space="preserve"> </w:t>
      </w:r>
      <w:r w:rsidR="004A6949" w:rsidRPr="006C104F">
        <w:rPr>
          <w:sz w:val="22"/>
          <w:szCs w:val="22"/>
        </w:rPr>
        <w:t>and</w:t>
      </w:r>
    </w:p>
    <w:p w14:paraId="517F8172" w14:textId="559AE993" w:rsidR="00FD4F0F" w:rsidRPr="007D3D27" w:rsidRDefault="00FD4F0F" w:rsidP="00FD4F0F">
      <w:pPr>
        <w:numPr>
          <w:ilvl w:val="0"/>
          <w:numId w:val="4"/>
        </w:numPr>
        <w:spacing w:after="200"/>
        <w:jc w:val="both"/>
        <w:rPr>
          <w:color w:val="FF0000"/>
          <w:sz w:val="22"/>
          <w:szCs w:val="22"/>
        </w:rPr>
      </w:pPr>
      <w:r w:rsidRPr="007D3D27">
        <w:rPr>
          <w:color w:val="FF0000"/>
          <w:sz w:val="22"/>
          <w:szCs w:val="22"/>
        </w:rPr>
        <w:t>Provide written information that it has</w:t>
      </w:r>
      <w:r w:rsidR="007D3D27" w:rsidRPr="007D3D27">
        <w:rPr>
          <w:color w:val="FF0000"/>
          <w:sz w:val="22"/>
          <w:szCs w:val="22"/>
        </w:rPr>
        <w:t>,</w:t>
      </w:r>
      <w:r w:rsidRPr="007D3D27">
        <w:rPr>
          <w:color w:val="FF0000"/>
          <w:sz w:val="22"/>
          <w:szCs w:val="22"/>
        </w:rPr>
        <w:t xml:space="preserve"> or will have if successful</w:t>
      </w:r>
      <w:r w:rsidR="007D3D27" w:rsidRPr="007D3D27">
        <w:rPr>
          <w:color w:val="FF0000"/>
          <w:sz w:val="22"/>
          <w:szCs w:val="22"/>
        </w:rPr>
        <w:t>,</w:t>
      </w:r>
      <w:r w:rsidRPr="007D3D27">
        <w:rPr>
          <w:color w:val="FF0000"/>
          <w:sz w:val="22"/>
          <w:szCs w:val="22"/>
        </w:rPr>
        <w:t xml:space="preserve"> the insurance levels set out at section 5.6 below. </w:t>
      </w:r>
    </w:p>
    <w:p w14:paraId="53906793" w14:textId="48D0A3F5" w:rsidR="00FC52EF" w:rsidRPr="006C104F" w:rsidRDefault="00642EED" w:rsidP="00FA16EE">
      <w:pPr>
        <w:numPr>
          <w:ilvl w:val="0"/>
          <w:numId w:val="4"/>
        </w:numPr>
        <w:spacing w:after="200"/>
        <w:jc w:val="both"/>
        <w:rPr>
          <w:sz w:val="22"/>
          <w:szCs w:val="22"/>
        </w:rPr>
      </w:pPr>
      <w:r w:rsidRPr="006C104F">
        <w:rPr>
          <w:sz w:val="22"/>
          <w:szCs w:val="22"/>
        </w:rPr>
        <w:t>Include</w:t>
      </w:r>
      <w:r w:rsidR="004A6949" w:rsidRPr="006C104F">
        <w:rPr>
          <w:sz w:val="22"/>
          <w:szCs w:val="22"/>
        </w:rPr>
        <w:t xml:space="preserve"> </w:t>
      </w:r>
      <w:r w:rsidR="00FC52EF" w:rsidRPr="006C104F">
        <w:rPr>
          <w:sz w:val="22"/>
          <w:szCs w:val="22"/>
        </w:rPr>
        <w:t>details of any conflict of interest and how it will be resolved, if any, as included at Appendix 2 below</w:t>
      </w:r>
    </w:p>
    <w:p w14:paraId="376B80FF" w14:textId="5F21B91B" w:rsidR="00FA16EE" w:rsidRPr="006C104F" w:rsidRDefault="00FC52EF" w:rsidP="00FA16EE">
      <w:pPr>
        <w:numPr>
          <w:ilvl w:val="0"/>
          <w:numId w:val="4"/>
        </w:numPr>
        <w:spacing w:after="200"/>
        <w:jc w:val="both"/>
        <w:rPr>
          <w:sz w:val="22"/>
          <w:szCs w:val="22"/>
        </w:rPr>
      </w:pPr>
      <w:r w:rsidRPr="006C104F">
        <w:rPr>
          <w:sz w:val="22"/>
          <w:szCs w:val="22"/>
        </w:rPr>
        <w:lastRenderedPageBreak/>
        <w:t xml:space="preserve">Include </w:t>
      </w:r>
      <w:r w:rsidR="004A6949" w:rsidRPr="006C104F">
        <w:rPr>
          <w:sz w:val="22"/>
          <w:szCs w:val="22"/>
        </w:rPr>
        <w:t xml:space="preserve">confirmation of acceptance by the tenderer of the conditions of appointment </w:t>
      </w:r>
      <w:r w:rsidR="00FA16EE" w:rsidRPr="006C104F">
        <w:rPr>
          <w:sz w:val="22"/>
          <w:szCs w:val="22"/>
        </w:rPr>
        <w:t>as set out at Appendix 1 and 2</w:t>
      </w:r>
      <w:r w:rsidR="00E75520" w:rsidRPr="006C104F">
        <w:rPr>
          <w:sz w:val="22"/>
          <w:szCs w:val="22"/>
        </w:rPr>
        <w:t xml:space="preserve"> below</w:t>
      </w:r>
      <w:r w:rsidR="004A6949" w:rsidRPr="006C104F">
        <w:rPr>
          <w:sz w:val="22"/>
          <w:szCs w:val="22"/>
        </w:rPr>
        <w:t>.</w:t>
      </w:r>
    </w:p>
    <w:p w14:paraId="76E55446" w14:textId="41959E22" w:rsidR="004A6949" w:rsidRPr="006C104F" w:rsidRDefault="004A6949" w:rsidP="00FA16EE">
      <w:pPr>
        <w:pStyle w:val="BodyTextIndent2"/>
        <w:ind w:left="709" w:hanging="709"/>
        <w:jc w:val="both"/>
        <w:rPr>
          <w:sz w:val="22"/>
          <w:szCs w:val="22"/>
        </w:rPr>
      </w:pPr>
      <w:r w:rsidRPr="006C104F">
        <w:rPr>
          <w:sz w:val="22"/>
          <w:szCs w:val="22"/>
        </w:rPr>
        <w:t>3.</w:t>
      </w:r>
      <w:r w:rsidR="00791EA5" w:rsidRPr="006C104F">
        <w:rPr>
          <w:sz w:val="22"/>
          <w:szCs w:val="22"/>
        </w:rPr>
        <w:t>3</w:t>
      </w:r>
      <w:r w:rsidRPr="006C104F">
        <w:rPr>
          <w:sz w:val="22"/>
          <w:szCs w:val="22"/>
        </w:rPr>
        <w:t xml:space="preserve"> </w:t>
      </w:r>
      <w:r w:rsidRPr="006C104F">
        <w:rPr>
          <w:sz w:val="22"/>
          <w:szCs w:val="22"/>
        </w:rPr>
        <w:tab/>
        <w:t xml:space="preserve">The successful tenderer shall be responsible for the delivery of </w:t>
      </w:r>
      <w:r w:rsidR="00B3630F">
        <w:rPr>
          <w:sz w:val="22"/>
          <w:szCs w:val="22"/>
        </w:rPr>
        <w:t>Services</w:t>
      </w:r>
      <w:r w:rsidR="00FA16EE" w:rsidRPr="006C104F">
        <w:rPr>
          <w:sz w:val="22"/>
          <w:szCs w:val="22"/>
        </w:rPr>
        <w:t xml:space="preserve"> </w:t>
      </w:r>
      <w:r w:rsidRPr="006C104F">
        <w:rPr>
          <w:sz w:val="22"/>
          <w:szCs w:val="22"/>
        </w:rPr>
        <w:t>provided for within th</w:t>
      </w:r>
      <w:r w:rsidR="00FA16EE" w:rsidRPr="006C104F">
        <w:rPr>
          <w:sz w:val="22"/>
          <w:szCs w:val="22"/>
        </w:rPr>
        <w:t xml:space="preserve">is RFQ and on the terms attached at Appendix 1 </w:t>
      </w:r>
      <w:r w:rsidRPr="006C104F">
        <w:rPr>
          <w:sz w:val="22"/>
          <w:szCs w:val="22"/>
        </w:rPr>
        <w:t xml:space="preserve">contract </w:t>
      </w:r>
      <w:proofErr w:type="gramStart"/>
      <w:r w:rsidRPr="006C104F">
        <w:rPr>
          <w:sz w:val="22"/>
          <w:szCs w:val="22"/>
        </w:rPr>
        <w:t>on the basis of</w:t>
      </w:r>
      <w:proofErr w:type="gramEnd"/>
      <w:r w:rsidRPr="006C104F">
        <w:rPr>
          <w:sz w:val="22"/>
          <w:szCs w:val="22"/>
        </w:rPr>
        <w:t xml:space="preserve"> </w:t>
      </w:r>
      <w:r w:rsidR="004C6F8D">
        <w:rPr>
          <w:b/>
          <w:color w:val="FF0000"/>
          <w:sz w:val="22"/>
          <w:szCs w:val="22"/>
        </w:rPr>
        <w:t xml:space="preserve">a price not exceeding €40,000 </w:t>
      </w:r>
      <w:r w:rsidR="00FA16EE" w:rsidRPr="006C104F">
        <w:rPr>
          <w:sz w:val="22"/>
          <w:szCs w:val="22"/>
        </w:rPr>
        <w:t>included in your tender response document</w:t>
      </w:r>
    </w:p>
    <w:p w14:paraId="56DEEB4D" w14:textId="77777777" w:rsidR="004A6949" w:rsidRPr="006C104F" w:rsidRDefault="004A6949" w:rsidP="004A6949">
      <w:pPr>
        <w:pStyle w:val="BodyTextIndent2"/>
        <w:ind w:left="709" w:hanging="720"/>
        <w:jc w:val="both"/>
        <w:rPr>
          <w:sz w:val="22"/>
          <w:szCs w:val="22"/>
        </w:rPr>
      </w:pPr>
    </w:p>
    <w:p w14:paraId="40F5DC23" w14:textId="16703F01" w:rsidR="00272CF5" w:rsidRDefault="004A6949" w:rsidP="004A6949">
      <w:pPr>
        <w:pStyle w:val="BodyTextIndent2"/>
        <w:ind w:left="709" w:hanging="720"/>
        <w:jc w:val="both"/>
        <w:rPr>
          <w:sz w:val="22"/>
          <w:szCs w:val="22"/>
        </w:rPr>
      </w:pPr>
      <w:r w:rsidRPr="006C104F">
        <w:rPr>
          <w:sz w:val="22"/>
          <w:szCs w:val="22"/>
        </w:rPr>
        <w:t>3.</w:t>
      </w:r>
      <w:r w:rsidR="00791EA5" w:rsidRPr="006C104F">
        <w:rPr>
          <w:sz w:val="22"/>
          <w:szCs w:val="22"/>
        </w:rPr>
        <w:t>4</w:t>
      </w:r>
      <w:r w:rsidRPr="006C104F">
        <w:rPr>
          <w:sz w:val="22"/>
          <w:szCs w:val="22"/>
        </w:rPr>
        <w:tab/>
      </w:r>
      <w:r w:rsidRPr="000B2FC2">
        <w:rPr>
          <w:sz w:val="22"/>
          <w:szCs w:val="22"/>
        </w:rPr>
        <w:t xml:space="preserve">The fixed price </w:t>
      </w:r>
      <w:r w:rsidRPr="006C104F">
        <w:rPr>
          <w:sz w:val="22"/>
          <w:szCs w:val="22"/>
        </w:rPr>
        <w:t xml:space="preserve">must be quoted in euro and exclusive of vat but inclusive of all expenses. </w:t>
      </w:r>
    </w:p>
    <w:p w14:paraId="6B2DB5A5" w14:textId="539E6231" w:rsidR="00FD619D" w:rsidRDefault="00FD619D" w:rsidP="004A6949">
      <w:pPr>
        <w:pStyle w:val="BodyTextIndent2"/>
        <w:ind w:left="709" w:hanging="720"/>
        <w:jc w:val="both"/>
        <w:rPr>
          <w:sz w:val="22"/>
          <w:szCs w:val="22"/>
        </w:rPr>
      </w:pPr>
    </w:p>
    <w:p w14:paraId="713EA736" w14:textId="19B45581" w:rsidR="00FD619D" w:rsidRPr="00FD619D" w:rsidRDefault="00FD619D" w:rsidP="00FD619D">
      <w:pPr>
        <w:pStyle w:val="BodyTextIndent2"/>
        <w:ind w:left="709" w:hanging="720"/>
        <w:jc w:val="both"/>
        <w:rPr>
          <w:sz w:val="22"/>
          <w:szCs w:val="22"/>
        </w:rPr>
      </w:pPr>
      <w:bookmarkStart w:id="1" w:name="_Hlk63427952"/>
      <w:r>
        <w:rPr>
          <w:sz w:val="22"/>
          <w:szCs w:val="22"/>
        </w:rPr>
        <w:t>3.5</w:t>
      </w:r>
      <w:r>
        <w:rPr>
          <w:sz w:val="22"/>
          <w:szCs w:val="22"/>
        </w:rPr>
        <w:tab/>
      </w:r>
      <w:r w:rsidRPr="00FD619D">
        <w:rPr>
          <w:sz w:val="22"/>
          <w:szCs w:val="22"/>
        </w:rPr>
        <w:t xml:space="preserve">“Data Protection Laws” means all applicable national and EU data protection laws, regulations and guidelines including but not limited to Regulation (EU) 2016/679 on the protection of natural persons with regard to the processing of personal data and on the free movement of such data, and repealing  Directive 95/46/EC (the “General Data Protection Regulation”),  Data Protection Act 2018 and any guidelines and codes of practice issued by the Data Protection Commission  or other supervisory authority for data protection in Ireland from time to time. The Department will be a Data Controller (where Data Controller has the meaning given under the Data Protection Laws) in respect of any Personal Data (where Personal Data has the meaning given under the Data Protection Laws) required to be provided by the Tenderer in response to this RFQ.  The Tenderer, as Data Controller, in respect of any Personal Data provided by it in its tender proposal in response to this RFQ, is required to confirm that all Data Subjects (where Data Subject has the meaning given under the Data Protection Laws) whose Personal Data is provided by the </w:t>
      </w:r>
      <w:r>
        <w:rPr>
          <w:sz w:val="22"/>
          <w:szCs w:val="22"/>
        </w:rPr>
        <w:t>Tenderer</w:t>
      </w:r>
      <w:r w:rsidRPr="00FD619D">
        <w:rPr>
          <w:sz w:val="22"/>
          <w:szCs w:val="22"/>
        </w:rPr>
        <w:t xml:space="preserve"> have consented to the processing of such Personal Data by the Tenderer, the Department, and/or the supplier of the eTenders.gov.ie website, for the purposes of the participation of the Tenderer in this competition or that the Tenderer otherwise has a legal basis for providing such Personal Data to the Department for the purposes of its participation in this competition. </w:t>
      </w:r>
    </w:p>
    <w:p w14:paraId="0BA1C2D3" w14:textId="77777777" w:rsidR="00FD619D" w:rsidRPr="00FD619D" w:rsidRDefault="00FD619D" w:rsidP="00FD619D">
      <w:pPr>
        <w:pStyle w:val="BodyTextIndent2"/>
        <w:ind w:left="709" w:hanging="720"/>
        <w:jc w:val="both"/>
        <w:rPr>
          <w:sz w:val="22"/>
          <w:szCs w:val="22"/>
        </w:rPr>
      </w:pPr>
    </w:p>
    <w:p w14:paraId="7E29D753" w14:textId="3EAA0B03" w:rsidR="00FD619D" w:rsidRPr="006C104F" w:rsidRDefault="00FD619D" w:rsidP="00FD619D">
      <w:pPr>
        <w:pStyle w:val="BodyTextIndent2"/>
        <w:ind w:left="709" w:hanging="720"/>
        <w:jc w:val="both"/>
        <w:rPr>
          <w:sz w:val="22"/>
          <w:szCs w:val="22"/>
        </w:rPr>
      </w:pPr>
      <w:r>
        <w:rPr>
          <w:sz w:val="22"/>
          <w:szCs w:val="22"/>
        </w:rPr>
        <w:t>3.6</w:t>
      </w:r>
      <w:r>
        <w:rPr>
          <w:sz w:val="22"/>
          <w:szCs w:val="22"/>
        </w:rPr>
        <w:tab/>
      </w:r>
      <w:r w:rsidRPr="00FD619D">
        <w:rPr>
          <w:sz w:val="22"/>
          <w:szCs w:val="22"/>
        </w:rPr>
        <w:t xml:space="preserve">For the avoidance of doubt, each party is a Data Controller </w:t>
      </w:r>
      <w:proofErr w:type="gramStart"/>
      <w:r w:rsidRPr="00FD619D">
        <w:rPr>
          <w:sz w:val="22"/>
          <w:szCs w:val="22"/>
        </w:rPr>
        <w:t>in their own right in</w:t>
      </w:r>
      <w:proofErr w:type="gramEnd"/>
      <w:r w:rsidRPr="00FD619D">
        <w:rPr>
          <w:sz w:val="22"/>
          <w:szCs w:val="22"/>
        </w:rPr>
        <w:t xml:space="preserve"> respect of their use of the Personal Data provided in a Tender proposal to this RFQ.</w:t>
      </w:r>
    </w:p>
    <w:bookmarkEnd w:id="1"/>
    <w:p w14:paraId="330B0B86" w14:textId="77777777" w:rsidR="004A6949" w:rsidRPr="006C104F" w:rsidRDefault="00272CF5" w:rsidP="004A6949">
      <w:pPr>
        <w:pStyle w:val="BodyTextIndent2"/>
        <w:ind w:left="709" w:hanging="720"/>
        <w:jc w:val="both"/>
        <w:rPr>
          <w:sz w:val="22"/>
          <w:szCs w:val="22"/>
        </w:rPr>
      </w:pPr>
      <w:r w:rsidRPr="006C104F">
        <w:rPr>
          <w:sz w:val="22"/>
          <w:szCs w:val="22"/>
        </w:rPr>
        <w:t xml:space="preserve"> </w:t>
      </w:r>
    </w:p>
    <w:p w14:paraId="49C5E13B" w14:textId="77777777" w:rsidR="004A6949" w:rsidRPr="006C104F" w:rsidRDefault="00642EED" w:rsidP="00642EED">
      <w:pPr>
        <w:ind w:left="720" w:hanging="720"/>
        <w:jc w:val="both"/>
        <w:rPr>
          <w:b/>
          <w:sz w:val="22"/>
          <w:szCs w:val="22"/>
        </w:rPr>
      </w:pPr>
      <w:r w:rsidRPr="006C104F">
        <w:rPr>
          <w:b/>
          <w:sz w:val="22"/>
          <w:szCs w:val="22"/>
        </w:rPr>
        <w:t xml:space="preserve">4.     </w:t>
      </w:r>
      <w:r w:rsidR="004A6949" w:rsidRPr="006C104F">
        <w:rPr>
          <w:b/>
          <w:sz w:val="22"/>
          <w:szCs w:val="22"/>
        </w:rPr>
        <w:t>EVALUATION OF PROPOSALS AND AWARD CRITERIA</w:t>
      </w:r>
    </w:p>
    <w:p w14:paraId="475E6E33" w14:textId="77777777" w:rsidR="004A6949" w:rsidRPr="006C104F" w:rsidRDefault="004A6949" w:rsidP="004A6949">
      <w:pPr>
        <w:ind w:left="357" w:hanging="357"/>
        <w:jc w:val="both"/>
        <w:rPr>
          <w:sz w:val="22"/>
          <w:szCs w:val="22"/>
        </w:rPr>
      </w:pPr>
    </w:p>
    <w:p w14:paraId="0CB6653C" w14:textId="0C9042D7" w:rsidR="004A6949" w:rsidRPr="006C104F" w:rsidRDefault="004A6949" w:rsidP="004A6949">
      <w:pPr>
        <w:spacing w:line="240" w:lineRule="atLeast"/>
        <w:ind w:left="720" w:hanging="720"/>
        <w:jc w:val="both"/>
        <w:rPr>
          <w:sz w:val="22"/>
          <w:szCs w:val="22"/>
        </w:rPr>
      </w:pPr>
      <w:r w:rsidRPr="006C104F">
        <w:rPr>
          <w:sz w:val="22"/>
          <w:szCs w:val="22"/>
        </w:rPr>
        <w:t>4.1</w:t>
      </w:r>
      <w:r w:rsidRPr="006C104F">
        <w:rPr>
          <w:sz w:val="22"/>
          <w:szCs w:val="22"/>
        </w:rPr>
        <w:tab/>
        <w:t xml:space="preserve">The </w:t>
      </w:r>
      <w:r w:rsidR="006F656A" w:rsidRPr="006C104F">
        <w:rPr>
          <w:sz w:val="22"/>
          <w:szCs w:val="22"/>
        </w:rPr>
        <w:t>Department</w:t>
      </w:r>
      <w:r w:rsidR="00A1588B" w:rsidRPr="006C104F">
        <w:rPr>
          <w:sz w:val="22"/>
          <w:szCs w:val="22"/>
        </w:rPr>
        <w:t xml:space="preserve"> of Health </w:t>
      </w:r>
      <w:r w:rsidRPr="006C104F">
        <w:rPr>
          <w:sz w:val="22"/>
          <w:szCs w:val="22"/>
        </w:rPr>
        <w:t xml:space="preserve">reserves the right to seek clarification of </w:t>
      </w:r>
      <w:r w:rsidR="00FC4839" w:rsidRPr="006C104F">
        <w:rPr>
          <w:sz w:val="22"/>
          <w:szCs w:val="22"/>
        </w:rPr>
        <w:t xml:space="preserve">tender </w:t>
      </w:r>
      <w:r w:rsidRPr="006C104F">
        <w:rPr>
          <w:sz w:val="22"/>
          <w:szCs w:val="22"/>
        </w:rPr>
        <w:t>proposals received.</w:t>
      </w:r>
    </w:p>
    <w:p w14:paraId="4C5665F2" w14:textId="77777777" w:rsidR="004A6949" w:rsidRPr="006C104F" w:rsidRDefault="004A6949" w:rsidP="004A6949">
      <w:pPr>
        <w:spacing w:line="240" w:lineRule="atLeast"/>
        <w:ind w:left="720" w:hanging="720"/>
        <w:jc w:val="both"/>
        <w:rPr>
          <w:sz w:val="22"/>
          <w:szCs w:val="22"/>
        </w:rPr>
      </w:pPr>
    </w:p>
    <w:p w14:paraId="357248BA" w14:textId="145BD504" w:rsidR="00642EED" w:rsidRPr="006C104F" w:rsidRDefault="004A6949" w:rsidP="002F30F2">
      <w:pPr>
        <w:spacing w:line="240" w:lineRule="atLeast"/>
        <w:ind w:left="720" w:hanging="720"/>
        <w:jc w:val="both"/>
        <w:rPr>
          <w:sz w:val="22"/>
          <w:szCs w:val="22"/>
        </w:rPr>
      </w:pPr>
      <w:r w:rsidRPr="006C104F">
        <w:rPr>
          <w:sz w:val="22"/>
          <w:szCs w:val="22"/>
        </w:rPr>
        <w:t>4.</w:t>
      </w:r>
      <w:r w:rsidR="00E75520" w:rsidRPr="006C104F">
        <w:rPr>
          <w:sz w:val="22"/>
          <w:szCs w:val="22"/>
        </w:rPr>
        <w:t>2</w:t>
      </w:r>
      <w:r w:rsidRPr="006C104F">
        <w:rPr>
          <w:sz w:val="22"/>
          <w:szCs w:val="22"/>
        </w:rPr>
        <w:tab/>
        <w:t xml:space="preserve">Tenderers who have fully complied with the information requirements set out in this </w:t>
      </w:r>
      <w:r w:rsidR="002A15B8" w:rsidRPr="006C104F">
        <w:rPr>
          <w:sz w:val="22"/>
          <w:szCs w:val="22"/>
        </w:rPr>
        <w:t xml:space="preserve">RFQ </w:t>
      </w:r>
      <w:r w:rsidRPr="006C104F">
        <w:rPr>
          <w:sz w:val="22"/>
          <w:szCs w:val="22"/>
        </w:rPr>
        <w:t xml:space="preserve">will be evaluated </w:t>
      </w:r>
      <w:proofErr w:type="gramStart"/>
      <w:r w:rsidRPr="006C104F">
        <w:rPr>
          <w:sz w:val="22"/>
          <w:szCs w:val="22"/>
        </w:rPr>
        <w:t>on the basis of</w:t>
      </w:r>
      <w:proofErr w:type="gramEnd"/>
      <w:r w:rsidRPr="006C104F">
        <w:rPr>
          <w:sz w:val="22"/>
          <w:szCs w:val="22"/>
        </w:rPr>
        <w:t xml:space="preserve"> the most economically advantageous </w:t>
      </w:r>
      <w:r w:rsidR="00FC4839" w:rsidRPr="006C104F">
        <w:rPr>
          <w:sz w:val="22"/>
          <w:szCs w:val="22"/>
        </w:rPr>
        <w:t xml:space="preserve">tender </w:t>
      </w:r>
      <w:r w:rsidRPr="006C104F">
        <w:rPr>
          <w:sz w:val="22"/>
          <w:szCs w:val="22"/>
        </w:rPr>
        <w:t>proposal, applying the following award criteria:</w:t>
      </w:r>
    </w:p>
    <w:p w14:paraId="7C5CD03F" w14:textId="77777777" w:rsidR="004A6949" w:rsidRPr="006C104F" w:rsidRDefault="004A6949" w:rsidP="004A6949">
      <w:pPr>
        <w:spacing w:line="240" w:lineRule="atLeast"/>
        <w:ind w:left="720"/>
        <w:jc w:val="both"/>
        <w:rPr>
          <w:sz w:val="22"/>
          <w:szCs w:val="22"/>
        </w:rPr>
      </w:pPr>
    </w:p>
    <w:tbl>
      <w:tblPr>
        <w:tblW w:w="9064"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1570"/>
        <w:gridCol w:w="5793"/>
        <w:gridCol w:w="1701"/>
      </w:tblGrid>
      <w:tr w:rsidR="004A6949" w:rsidRPr="006C104F" w14:paraId="40DF56D0" w14:textId="77777777" w:rsidTr="001F7962">
        <w:trPr>
          <w:tblCellSpacing w:w="20" w:type="dxa"/>
          <w:jc w:val="center"/>
        </w:trPr>
        <w:tc>
          <w:tcPr>
            <w:tcW w:w="1510" w:type="dxa"/>
            <w:shd w:val="clear" w:color="auto" w:fill="737373"/>
            <w:vAlign w:val="center"/>
          </w:tcPr>
          <w:p w14:paraId="0FAE086F" w14:textId="77777777" w:rsidR="004A6949" w:rsidRPr="006C104F" w:rsidRDefault="004A6949" w:rsidP="00A468CB">
            <w:pPr>
              <w:jc w:val="center"/>
              <w:rPr>
                <w:rFonts w:eastAsia="MS Mincho"/>
                <w:b/>
                <w:color w:val="FFFFFF"/>
                <w:spacing w:val="-2"/>
                <w:sz w:val="22"/>
                <w:szCs w:val="22"/>
                <w:lang w:val="en-IE"/>
              </w:rPr>
            </w:pPr>
            <w:r w:rsidRPr="006C104F">
              <w:rPr>
                <w:rFonts w:eastAsia="MS Mincho"/>
                <w:b/>
                <w:color w:val="FFFFFF"/>
                <w:spacing w:val="-2"/>
                <w:sz w:val="22"/>
                <w:szCs w:val="22"/>
                <w:lang w:val="en-IE"/>
              </w:rPr>
              <w:t>Main Criteria</w:t>
            </w:r>
          </w:p>
        </w:tc>
        <w:tc>
          <w:tcPr>
            <w:tcW w:w="5753" w:type="dxa"/>
            <w:shd w:val="clear" w:color="auto" w:fill="737373"/>
            <w:vAlign w:val="center"/>
          </w:tcPr>
          <w:p w14:paraId="2286546E" w14:textId="77777777" w:rsidR="004A6949" w:rsidRPr="006C104F" w:rsidRDefault="004A6949" w:rsidP="00A468CB">
            <w:pPr>
              <w:jc w:val="center"/>
              <w:rPr>
                <w:rFonts w:eastAsia="MS Mincho"/>
                <w:b/>
                <w:color w:val="FFFFFF"/>
                <w:spacing w:val="-2"/>
                <w:sz w:val="22"/>
                <w:szCs w:val="22"/>
                <w:lang w:val="en-IE"/>
              </w:rPr>
            </w:pPr>
            <w:r w:rsidRPr="006C104F">
              <w:rPr>
                <w:rFonts w:eastAsia="MS Mincho"/>
                <w:b/>
                <w:color w:val="FFFFFF"/>
                <w:spacing w:val="-2"/>
                <w:sz w:val="22"/>
                <w:szCs w:val="22"/>
                <w:lang w:val="en-IE"/>
              </w:rPr>
              <w:t>Sub Criteria</w:t>
            </w:r>
          </w:p>
        </w:tc>
        <w:tc>
          <w:tcPr>
            <w:tcW w:w="1641" w:type="dxa"/>
            <w:shd w:val="clear" w:color="auto" w:fill="737373"/>
            <w:vAlign w:val="center"/>
          </w:tcPr>
          <w:p w14:paraId="1661CC17" w14:textId="77777777" w:rsidR="004A6949" w:rsidRPr="006C104F" w:rsidRDefault="004A6949" w:rsidP="00A468CB">
            <w:pPr>
              <w:jc w:val="center"/>
              <w:rPr>
                <w:rFonts w:eastAsia="MS Mincho"/>
                <w:b/>
                <w:color w:val="FFFFFF"/>
                <w:spacing w:val="-2"/>
                <w:sz w:val="22"/>
                <w:szCs w:val="22"/>
                <w:lang w:val="en-IE"/>
              </w:rPr>
            </w:pPr>
            <w:r w:rsidRPr="006C104F">
              <w:rPr>
                <w:rFonts w:eastAsia="MS Mincho"/>
                <w:b/>
                <w:color w:val="FFFFFF"/>
                <w:spacing w:val="-2"/>
                <w:sz w:val="22"/>
                <w:szCs w:val="22"/>
                <w:lang w:val="en-IE"/>
              </w:rPr>
              <w:t>Marks Available</w:t>
            </w:r>
          </w:p>
        </w:tc>
      </w:tr>
      <w:tr w:rsidR="004A6949" w:rsidRPr="006C104F" w14:paraId="32367159" w14:textId="77777777" w:rsidTr="001F7962">
        <w:trPr>
          <w:trHeight w:val="1063"/>
          <w:tblCellSpacing w:w="20" w:type="dxa"/>
          <w:jc w:val="center"/>
        </w:trPr>
        <w:tc>
          <w:tcPr>
            <w:tcW w:w="1510" w:type="dxa"/>
            <w:vMerge w:val="restart"/>
            <w:shd w:val="clear" w:color="auto" w:fill="auto"/>
            <w:vAlign w:val="center"/>
          </w:tcPr>
          <w:p w14:paraId="531235D7" w14:textId="77777777" w:rsidR="004A6949" w:rsidRPr="006C104F" w:rsidRDefault="004A6949" w:rsidP="00A468CB">
            <w:pPr>
              <w:rPr>
                <w:rFonts w:eastAsia="MS Mincho"/>
                <w:b/>
                <w:color w:val="000000" w:themeColor="text1"/>
                <w:spacing w:val="-2"/>
                <w:sz w:val="22"/>
                <w:szCs w:val="22"/>
              </w:rPr>
            </w:pPr>
            <w:r w:rsidRPr="006C104F">
              <w:rPr>
                <w:rFonts w:eastAsia="MS Mincho"/>
                <w:b/>
                <w:color w:val="000000" w:themeColor="text1"/>
                <w:spacing w:val="-2"/>
                <w:sz w:val="22"/>
                <w:szCs w:val="22"/>
              </w:rPr>
              <w:t>Quality</w:t>
            </w:r>
          </w:p>
        </w:tc>
        <w:tc>
          <w:tcPr>
            <w:tcW w:w="5753" w:type="dxa"/>
            <w:shd w:val="clear" w:color="auto" w:fill="auto"/>
            <w:vAlign w:val="center"/>
          </w:tcPr>
          <w:p w14:paraId="7CA84F7F" w14:textId="115BB361" w:rsidR="00E03CAF" w:rsidRPr="006C104F" w:rsidRDefault="00E03CAF" w:rsidP="00E03CAF">
            <w:pPr>
              <w:spacing w:line="360" w:lineRule="auto"/>
              <w:rPr>
                <w:b/>
                <w:color w:val="235D64"/>
                <w:sz w:val="22"/>
                <w:szCs w:val="22"/>
                <w:lang w:val="en-US"/>
              </w:rPr>
            </w:pPr>
            <w:r w:rsidRPr="006C104F">
              <w:rPr>
                <w:b/>
                <w:color w:val="235D64"/>
                <w:sz w:val="22"/>
                <w:szCs w:val="22"/>
                <w:lang w:val="en-US"/>
              </w:rPr>
              <w:t>Part A – Approach and Proposed Service</w:t>
            </w:r>
            <w:r w:rsidR="00AE2935" w:rsidRPr="006C104F">
              <w:rPr>
                <w:b/>
                <w:color w:val="235D64"/>
                <w:sz w:val="22"/>
                <w:szCs w:val="22"/>
                <w:lang w:val="en-US"/>
              </w:rPr>
              <w:t xml:space="preserve"> </w:t>
            </w:r>
            <w:r w:rsidRPr="006C104F">
              <w:rPr>
                <w:b/>
                <w:color w:val="235D64"/>
                <w:sz w:val="22"/>
                <w:szCs w:val="22"/>
                <w:lang w:val="en-US"/>
              </w:rPr>
              <w:t xml:space="preserve">Methodology - </w:t>
            </w:r>
          </w:p>
          <w:p w14:paraId="48483752" w14:textId="195C8CB5" w:rsidR="000B70AB" w:rsidRPr="000B70AB" w:rsidRDefault="00E03CAF" w:rsidP="000B70AB">
            <w:pPr>
              <w:pStyle w:val="ListParagraph"/>
              <w:numPr>
                <w:ilvl w:val="0"/>
                <w:numId w:val="10"/>
              </w:numPr>
              <w:spacing w:line="360" w:lineRule="auto"/>
              <w:rPr>
                <w:color w:val="000000" w:themeColor="text1"/>
                <w:sz w:val="22"/>
                <w:szCs w:val="22"/>
              </w:rPr>
            </w:pPr>
            <w:r w:rsidRPr="006C104F">
              <w:rPr>
                <w:color w:val="000000" w:themeColor="text1"/>
                <w:sz w:val="22"/>
                <w:szCs w:val="22"/>
              </w:rPr>
              <w:t>Provide clear and comprehensive details of your proposed approach and methodology for the provision</w:t>
            </w:r>
            <w:r w:rsidR="00F11BE4" w:rsidRPr="006C104F">
              <w:rPr>
                <w:color w:val="000000" w:themeColor="text1"/>
                <w:sz w:val="22"/>
                <w:szCs w:val="22"/>
              </w:rPr>
              <w:t xml:space="preserve"> of</w:t>
            </w:r>
            <w:r w:rsidRPr="006C104F">
              <w:rPr>
                <w:color w:val="000000" w:themeColor="text1"/>
                <w:sz w:val="22"/>
                <w:szCs w:val="22"/>
              </w:rPr>
              <w:t xml:space="preserve"> the requirements</w:t>
            </w:r>
            <w:r w:rsidR="000B70AB">
              <w:rPr>
                <w:color w:val="000000" w:themeColor="text1"/>
                <w:sz w:val="22"/>
                <w:szCs w:val="22"/>
              </w:rPr>
              <w:t xml:space="preserve">, and the collection of relevant data </w:t>
            </w:r>
            <w:r w:rsidRPr="006C104F">
              <w:rPr>
                <w:color w:val="000000" w:themeColor="text1"/>
                <w:sz w:val="22"/>
                <w:szCs w:val="22"/>
              </w:rPr>
              <w:t>as set out in Section 2 of th</w:t>
            </w:r>
            <w:r w:rsidR="00F11BE4" w:rsidRPr="006C104F">
              <w:rPr>
                <w:color w:val="000000" w:themeColor="text1"/>
                <w:sz w:val="22"/>
                <w:szCs w:val="22"/>
              </w:rPr>
              <w:t>is</w:t>
            </w:r>
            <w:r w:rsidRPr="006C104F">
              <w:rPr>
                <w:color w:val="000000" w:themeColor="text1"/>
                <w:sz w:val="22"/>
                <w:szCs w:val="22"/>
              </w:rPr>
              <w:t xml:space="preserve"> RFQ: Specification of Requirements. </w:t>
            </w:r>
          </w:p>
          <w:p w14:paraId="012582CE" w14:textId="6AE0F93B" w:rsidR="00512D21" w:rsidRPr="006C104F" w:rsidRDefault="00E03CAF" w:rsidP="00512D21">
            <w:pPr>
              <w:pStyle w:val="ListParagraph"/>
              <w:numPr>
                <w:ilvl w:val="0"/>
                <w:numId w:val="10"/>
              </w:numPr>
              <w:spacing w:line="360" w:lineRule="auto"/>
              <w:rPr>
                <w:color w:val="000000" w:themeColor="text1"/>
                <w:sz w:val="22"/>
                <w:szCs w:val="22"/>
              </w:rPr>
            </w:pPr>
            <w:r w:rsidRPr="006C104F">
              <w:rPr>
                <w:color w:val="000000" w:themeColor="text1"/>
                <w:sz w:val="22"/>
                <w:szCs w:val="22"/>
              </w:rPr>
              <w:lastRenderedPageBreak/>
              <w:t>Demonstrate a clear understanding of the issues that may arise in respect of the provision of services Tenderers must describe the issues and your approach to managing and overcoming such issues.</w:t>
            </w:r>
          </w:p>
          <w:p w14:paraId="3585E439" w14:textId="0A9BB0AB" w:rsidR="00512D21" w:rsidRPr="006C104F" w:rsidRDefault="00512D21" w:rsidP="00512D21">
            <w:pPr>
              <w:spacing w:line="360" w:lineRule="auto"/>
              <w:rPr>
                <w:color w:val="000000" w:themeColor="text1"/>
                <w:sz w:val="22"/>
                <w:szCs w:val="22"/>
              </w:rPr>
            </w:pPr>
            <w:r w:rsidRPr="006C104F">
              <w:rPr>
                <w:color w:val="000000" w:themeColor="text1"/>
                <w:sz w:val="22"/>
                <w:szCs w:val="22"/>
              </w:rPr>
              <w:t>Please provide a maximum of</w:t>
            </w:r>
            <w:r w:rsidR="002F30F2">
              <w:rPr>
                <w:color w:val="FF0000"/>
                <w:sz w:val="22"/>
                <w:szCs w:val="22"/>
              </w:rPr>
              <w:t xml:space="preserve"> 8</w:t>
            </w:r>
            <w:r w:rsidRPr="006C104F">
              <w:rPr>
                <w:color w:val="FF0000"/>
                <w:sz w:val="22"/>
                <w:szCs w:val="22"/>
              </w:rPr>
              <w:t xml:space="preserve"> </w:t>
            </w:r>
            <w:r w:rsidR="00F64961" w:rsidRPr="006C104F">
              <w:rPr>
                <w:color w:val="000000" w:themeColor="text1"/>
                <w:sz w:val="22"/>
                <w:szCs w:val="22"/>
              </w:rPr>
              <w:t xml:space="preserve">pages </w:t>
            </w:r>
            <w:r w:rsidRPr="006C104F">
              <w:rPr>
                <w:color w:val="000000" w:themeColor="text1"/>
                <w:sz w:val="22"/>
                <w:szCs w:val="22"/>
              </w:rPr>
              <w:t>using font</w:t>
            </w:r>
            <w:r w:rsidR="002F30F2">
              <w:rPr>
                <w:color w:val="FF0000"/>
                <w:sz w:val="22"/>
                <w:szCs w:val="22"/>
              </w:rPr>
              <w:t xml:space="preserve"> Times New Roman in size 12</w:t>
            </w:r>
            <w:r w:rsidRPr="006C104F">
              <w:rPr>
                <w:color w:val="FF0000"/>
                <w:sz w:val="22"/>
                <w:szCs w:val="22"/>
              </w:rPr>
              <w:t xml:space="preserve"> </w:t>
            </w:r>
            <w:r w:rsidRPr="006C104F">
              <w:rPr>
                <w:color w:val="000000" w:themeColor="text1"/>
                <w:sz w:val="22"/>
                <w:szCs w:val="22"/>
              </w:rPr>
              <w:t xml:space="preserve">in response to </w:t>
            </w:r>
            <w:proofErr w:type="gramStart"/>
            <w:r w:rsidRPr="006C104F">
              <w:rPr>
                <w:color w:val="000000" w:themeColor="text1"/>
                <w:sz w:val="22"/>
                <w:szCs w:val="22"/>
              </w:rPr>
              <w:t>this criteria</w:t>
            </w:r>
            <w:proofErr w:type="gramEnd"/>
            <w:r w:rsidRPr="006C104F">
              <w:rPr>
                <w:color w:val="000000" w:themeColor="text1"/>
                <w:sz w:val="22"/>
                <w:szCs w:val="22"/>
              </w:rPr>
              <w:t xml:space="preserve"> as part of your tender proposal.</w:t>
            </w:r>
          </w:p>
          <w:p w14:paraId="640380FF" w14:textId="77777777" w:rsidR="004A6949" w:rsidRPr="006C104F" w:rsidRDefault="004A6949" w:rsidP="00D06D0A">
            <w:pPr>
              <w:pStyle w:val="ListParagraph"/>
              <w:spacing w:line="360" w:lineRule="auto"/>
              <w:ind w:left="360"/>
              <w:rPr>
                <w:color w:val="000000" w:themeColor="text1"/>
                <w:sz w:val="22"/>
                <w:szCs w:val="22"/>
              </w:rPr>
            </w:pPr>
          </w:p>
        </w:tc>
        <w:tc>
          <w:tcPr>
            <w:tcW w:w="1641" w:type="dxa"/>
            <w:shd w:val="clear" w:color="auto" w:fill="CCCCCC"/>
            <w:vAlign w:val="center"/>
          </w:tcPr>
          <w:p w14:paraId="7578B14B" w14:textId="77777777" w:rsidR="004A6949" w:rsidRPr="006C104F" w:rsidRDefault="004A6949" w:rsidP="00A468CB">
            <w:pPr>
              <w:jc w:val="center"/>
              <w:rPr>
                <w:rFonts w:eastAsia="MS Mincho"/>
                <w:b/>
                <w:color w:val="000000" w:themeColor="text1"/>
                <w:spacing w:val="-2"/>
                <w:sz w:val="22"/>
                <w:szCs w:val="22"/>
                <w:lang w:val="en-IE"/>
              </w:rPr>
            </w:pPr>
            <w:r w:rsidRPr="006C104F">
              <w:rPr>
                <w:rFonts w:eastAsia="MS Mincho"/>
                <w:b/>
                <w:color w:val="000000" w:themeColor="text1"/>
                <w:spacing w:val="-2"/>
                <w:sz w:val="22"/>
                <w:szCs w:val="22"/>
                <w:lang w:val="en-IE"/>
              </w:rPr>
              <w:lastRenderedPageBreak/>
              <w:t>30</w:t>
            </w:r>
          </w:p>
        </w:tc>
      </w:tr>
      <w:tr w:rsidR="004A6949" w:rsidRPr="006C104F" w14:paraId="6BD42A23" w14:textId="77777777" w:rsidTr="001F7962">
        <w:trPr>
          <w:trHeight w:val="1192"/>
          <w:tblCellSpacing w:w="20" w:type="dxa"/>
          <w:jc w:val="center"/>
        </w:trPr>
        <w:tc>
          <w:tcPr>
            <w:tcW w:w="1510" w:type="dxa"/>
            <w:vMerge/>
            <w:shd w:val="clear" w:color="auto" w:fill="auto"/>
            <w:vAlign w:val="center"/>
          </w:tcPr>
          <w:p w14:paraId="6DA73AC5" w14:textId="77777777" w:rsidR="004A6949" w:rsidRPr="000B2FC2" w:rsidRDefault="004A6949" w:rsidP="00A468CB">
            <w:pPr>
              <w:rPr>
                <w:rFonts w:eastAsia="MS Mincho"/>
                <w:b/>
                <w:color w:val="000000" w:themeColor="text1"/>
                <w:spacing w:val="-2"/>
                <w:sz w:val="22"/>
                <w:szCs w:val="22"/>
                <w:lang w:val="en-IE"/>
              </w:rPr>
            </w:pPr>
          </w:p>
        </w:tc>
        <w:tc>
          <w:tcPr>
            <w:tcW w:w="5753" w:type="dxa"/>
            <w:shd w:val="clear" w:color="auto" w:fill="auto"/>
            <w:vAlign w:val="center"/>
          </w:tcPr>
          <w:p w14:paraId="438696CB" w14:textId="77777777" w:rsidR="00E03CAF" w:rsidRPr="006C104F" w:rsidRDefault="00E03CAF" w:rsidP="00E03CAF">
            <w:pPr>
              <w:spacing w:line="360" w:lineRule="auto"/>
              <w:rPr>
                <w:b/>
                <w:color w:val="235D64"/>
                <w:sz w:val="22"/>
                <w:szCs w:val="22"/>
                <w:lang w:val="en-US"/>
              </w:rPr>
            </w:pPr>
            <w:r w:rsidRPr="006C104F">
              <w:rPr>
                <w:b/>
                <w:color w:val="235D64"/>
                <w:sz w:val="22"/>
                <w:szCs w:val="22"/>
                <w:lang w:val="en-US"/>
              </w:rPr>
              <w:t>Part B – Quality and Relevant Experience of Proposed Team -</w:t>
            </w:r>
          </w:p>
          <w:p w14:paraId="1D53D412" w14:textId="1BAEEEBC" w:rsidR="00E03CAF" w:rsidRDefault="00E03CAF" w:rsidP="00E03CAF">
            <w:pPr>
              <w:spacing w:line="360" w:lineRule="auto"/>
              <w:rPr>
                <w:color w:val="000000" w:themeColor="text1"/>
                <w:sz w:val="22"/>
                <w:szCs w:val="22"/>
              </w:rPr>
            </w:pPr>
            <w:r w:rsidRPr="006C104F">
              <w:rPr>
                <w:bCs/>
                <w:color w:val="000000" w:themeColor="text1"/>
                <w:sz w:val="22"/>
                <w:szCs w:val="22"/>
              </w:rPr>
              <w:t>Please provide</w:t>
            </w:r>
            <w:r w:rsidRPr="006C104F">
              <w:rPr>
                <w:b/>
                <w:bCs/>
                <w:color w:val="000000" w:themeColor="text1"/>
                <w:sz w:val="22"/>
                <w:szCs w:val="22"/>
              </w:rPr>
              <w:t xml:space="preserve"> Biographical Details</w:t>
            </w:r>
            <w:r w:rsidRPr="006C104F">
              <w:rPr>
                <w:color w:val="000000" w:themeColor="text1"/>
                <w:sz w:val="22"/>
                <w:szCs w:val="22"/>
              </w:rPr>
              <w:t xml:space="preserve"> </w:t>
            </w:r>
            <w:r w:rsidRPr="006C104F">
              <w:rPr>
                <w:color w:val="000000" w:themeColor="text1"/>
                <w:sz w:val="22"/>
                <w:szCs w:val="22"/>
                <w:lang w:val="en-US"/>
              </w:rPr>
              <w:t xml:space="preserve">for </w:t>
            </w:r>
            <w:r w:rsidRPr="006C104F">
              <w:rPr>
                <w:b/>
                <w:color w:val="000000" w:themeColor="text1"/>
                <w:sz w:val="22"/>
                <w:szCs w:val="22"/>
                <w:u w:val="single"/>
                <w:lang w:val="en-US"/>
              </w:rPr>
              <w:t xml:space="preserve">each </w:t>
            </w:r>
            <w:r w:rsidR="003A162C" w:rsidRPr="006C104F">
              <w:rPr>
                <w:b/>
                <w:color w:val="000000" w:themeColor="text1"/>
                <w:sz w:val="22"/>
                <w:szCs w:val="22"/>
                <w:u w:val="single"/>
                <w:lang w:val="en-US"/>
              </w:rPr>
              <w:t xml:space="preserve">or key </w:t>
            </w:r>
            <w:r w:rsidRPr="006C104F">
              <w:rPr>
                <w:b/>
                <w:color w:val="000000" w:themeColor="text1"/>
                <w:sz w:val="22"/>
                <w:szCs w:val="22"/>
                <w:u w:val="single"/>
                <w:lang w:val="en-US"/>
              </w:rPr>
              <w:t>member</w:t>
            </w:r>
            <w:r w:rsidR="003A162C" w:rsidRPr="006C104F">
              <w:rPr>
                <w:b/>
                <w:color w:val="000000" w:themeColor="text1"/>
                <w:sz w:val="22"/>
                <w:szCs w:val="22"/>
                <w:u w:val="single"/>
                <w:lang w:val="en-US"/>
              </w:rPr>
              <w:t>(s)</w:t>
            </w:r>
            <w:r w:rsidRPr="006C104F">
              <w:rPr>
                <w:b/>
                <w:color w:val="000000" w:themeColor="text1"/>
                <w:sz w:val="22"/>
                <w:szCs w:val="22"/>
                <w:u w:val="single"/>
                <w:lang w:val="en-US"/>
              </w:rPr>
              <w:t xml:space="preserve"> of your proposed team</w:t>
            </w:r>
            <w:r w:rsidRPr="006C104F">
              <w:rPr>
                <w:color w:val="000000" w:themeColor="text1"/>
                <w:sz w:val="22"/>
                <w:szCs w:val="22"/>
                <w:lang w:val="en-US"/>
              </w:rPr>
              <w:t xml:space="preserve"> </w:t>
            </w:r>
            <w:r w:rsidRPr="006C104F">
              <w:rPr>
                <w:color w:val="000000" w:themeColor="text1"/>
                <w:sz w:val="22"/>
                <w:szCs w:val="22"/>
              </w:rPr>
              <w:t xml:space="preserve">including relevant subject matter expertise. The response </w:t>
            </w:r>
            <w:r w:rsidRPr="006C104F">
              <w:rPr>
                <w:b/>
                <w:bCs/>
                <w:color w:val="000000" w:themeColor="text1"/>
                <w:sz w:val="22"/>
                <w:szCs w:val="22"/>
                <w:u w:val="single"/>
              </w:rPr>
              <w:t>must</w:t>
            </w:r>
            <w:r w:rsidRPr="006C104F">
              <w:rPr>
                <w:color w:val="000000" w:themeColor="text1"/>
                <w:sz w:val="22"/>
                <w:szCs w:val="22"/>
              </w:rPr>
              <w:t xml:space="preserve"> demonstrate the following: </w:t>
            </w:r>
            <w:bookmarkStart w:id="2" w:name="_Hlk52267123"/>
            <w:r w:rsidRPr="006C104F">
              <w:rPr>
                <w:color w:val="000000" w:themeColor="text1"/>
                <w:sz w:val="22"/>
                <w:szCs w:val="22"/>
              </w:rPr>
              <w:t>Number of years’ experience</w:t>
            </w:r>
            <w:r w:rsidR="00896FDE" w:rsidRPr="006C104F">
              <w:rPr>
                <w:color w:val="000000" w:themeColor="text1"/>
                <w:sz w:val="22"/>
                <w:szCs w:val="22"/>
              </w:rPr>
              <w:t xml:space="preserve"> relevant for the job at hand</w:t>
            </w:r>
            <w:r w:rsidRPr="006C104F">
              <w:rPr>
                <w:color w:val="000000" w:themeColor="text1"/>
                <w:sz w:val="22"/>
                <w:szCs w:val="22"/>
              </w:rPr>
              <w:t xml:space="preserve">, </w:t>
            </w:r>
            <w:bookmarkEnd w:id="2"/>
            <w:r w:rsidRPr="006C104F">
              <w:rPr>
                <w:color w:val="000000" w:themeColor="text1"/>
                <w:sz w:val="22"/>
                <w:szCs w:val="22"/>
              </w:rPr>
              <w:t>qualifications, employment record and similar projects undertaken</w:t>
            </w:r>
            <w:r w:rsidR="00512D21" w:rsidRPr="006C104F">
              <w:rPr>
                <w:color w:val="000000" w:themeColor="text1"/>
                <w:sz w:val="22"/>
                <w:szCs w:val="22"/>
              </w:rPr>
              <w:t xml:space="preserve"> to the Services</w:t>
            </w:r>
            <w:r w:rsidR="000B2FC2">
              <w:rPr>
                <w:color w:val="000000" w:themeColor="text1"/>
                <w:sz w:val="22"/>
                <w:szCs w:val="22"/>
              </w:rPr>
              <w:t xml:space="preserve"> </w:t>
            </w:r>
            <w:r w:rsidR="00512D21" w:rsidRPr="006C104F">
              <w:rPr>
                <w:color w:val="000000" w:themeColor="text1"/>
                <w:sz w:val="22"/>
                <w:szCs w:val="22"/>
              </w:rPr>
              <w:t>described at section 2 of this RFQ</w:t>
            </w:r>
            <w:r w:rsidR="007D3D27">
              <w:rPr>
                <w:color w:val="000000" w:themeColor="text1"/>
                <w:sz w:val="22"/>
                <w:szCs w:val="22"/>
              </w:rPr>
              <w:t>.</w:t>
            </w:r>
          </w:p>
          <w:p w14:paraId="5229765F" w14:textId="77777777" w:rsidR="007D3D27" w:rsidRPr="007D3D27" w:rsidRDefault="007D3D27" w:rsidP="00E03CAF">
            <w:pPr>
              <w:spacing w:line="360" w:lineRule="auto"/>
              <w:rPr>
                <w:color w:val="000000" w:themeColor="text1"/>
                <w:sz w:val="22"/>
                <w:szCs w:val="22"/>
              </w:rPr>
            </w:pPr>
          </w:p>
          <w:p w14:paraId="46047845" w14:textId="3AE9A60F" w:rsidR="00512D21" w:rsidRPr="006C104F" w:rsidRDefault="00512D21" w:rsidP="00512D21">
            <w:pPr>
              <w:spacing w:line="360" w:lineRule="auto"/>
              <w:rPr>
                <w:color w:val="000000" w:themeColor="text1"/>
                <w:sz w:val="22"/>
                <w:szCs w:val="22"/>
              </w:rPr>
            </w:pPr>
            <w:r w:rsidRPr="006C104F">
              <w:rPr>
                <w:color w:val="000000" w:themeColor="text1"/>
                <w:sz w:val="22"/>
                <w:szCs w:val="22"/>
              </w:rPr>
              <w:t xml:space="preserve">Please note that CVs should </w:t>
            </w:r>
            <w:r w:rsidR="00791EA5" w:rsidRPr="006C104F">
              <w:rPr>
                <w:color w:val="000000" w:themeColor="text1"/>
                <w:sz w:val="22"/>
                <w:szCs w:val="22"/>
              </w:rPr>
              <w:t>be no</w:t>
            </w:r>
            <w:r w:rsidRPr="006C104F">
              <w:rPr>
                <w:color w:val="000000" w:themeColor="text1"/>
                <w:sz w:val="22"/>
                <w:szCs w:val="22"/>
              </w:rPr>
              <w:t xml:space="preserve"> longer </w:t>
            </w:r>
            <w:r w:rsidRPr="006C104F">
              <w:rPr>
                <w:color w:val="FF0000"/>
                <w:sz w:val="22"/>
                <w:szCs w:val="22"/>
              </w:rPr>
              <w:t xml:space="preserve">than </w:t>
            </w:r>
            <w:r w:rsidR="002F30F2">
              <w:rPr>
                <w:color w:val="FF0000"/>
                <w:sz w:val="22"/>
                <w:szCs w:val="22"/>
              </w:rPr>
              <w:t xml:space="preserve">2 </w:t>
            </w:r>
            <w:r w:rsidR="003A162C" w:rsidRPr="006C104F">
              <w:rPr>
                <w:color w:val="FF0000"/>
                <w:sz w:val="22"/>
                <w:szCs w:val="22"/>
              </w:rPr>
              <w:t>pages</w:t>
            </w:r>
            <w:r w:rsidRPr="006C104F">
              <w:rPr>
                <w:color w:val="000000" w:themeColor="text1"/>
                <w:sz w:val="22"/>
                <w:szCs w:val="22"/>
              </w:rPr>
              <w:t xml:space="preserve"> using font </w:t>
            </w:r>
            <w:r w:rsidR="002F30F2">
              <w:rPr>
                <w:color w:val="FF0000"/>
                <w:sz w:val="22"/>
                <w:szCs w:val="22"/>
              </w:rPr>
              <w:t>Times New Roman in size 12</w:t>
            </w:r>
          </w:p>
          <w:p w14:paraId="31F8BC67" w14:textId="77777777" w:rsidR="00512D21" w:rsidRPr="006C104F" w:rsidRDefault="00512D21" w:rsidP="00512D21">
            <w:pPr>
              <w:spacing w:line="360" w:lineRule="auto"/>
              <w:rPr>
                <w:color w:val="000000" w:themeColor="text1"/>
                <w:sz w:val="22"/>
                <w:szCs w:val="22"/>
              </w:rPr>
            </w:pPr>
          </w:p>
          <w:p w14:paraId="33FB86B7" w14:textId="3486C9CE" w:rsidR="00512D21" w:rsidRPr="006C104F" w:rsidRDefault="00512D21" w:rsidP="00512D21">
            <w:pPr>
              <w:spacing w:line="360" w:lineRule="auto"/>
              <w:rPr>
                <w:color w:val="000000" w:themeColor="text1"/>
                <w:sz w:val="22"/>
                <w:szCs w:val="22"/>
              </w:rPr>
            </w:pPr>
            <w:r w:rsidRPr="006C104F">
              <w:rPr>
                <w:color w:val="000000" w:themeColor="text1"/>
                <w:sz w:val="22"/>
                <w:szCs w:val="22"/>
              </w:rPr>
              <w:t>Where only one team member is proposed tenderers will be evaluated against that one member. Where multiple members are proposed CVs will be evaluated cumulatively.</w:t>
            </w:r>
          </w:p>
        </w:tc>
        <w:tc>
          <w:tcPr>
            <w:tcW w:w="1641" w:type="dxa"/>
            <w:shd w:val="clear" w:color="auto" w:fill="CCCCCC"/>
            <w:vAlign w:val="center"/>
          </w:tcPr>
          <w:p w14:paraId="536BDB98" w14:textId="77777777" w:rsidR="004A6949" w:rsidRPr="006C104F" w:rsidRDefault="004A6949" w:rsidP="00A468CB">
            <w:pPr>
              <w:jc w:val="center"/>
              <w:rPr>
                <w:rFonts w:eastAsia="MS Mincho"/>
                <w:b/>
                <w:color w:val="000000" w:themeColor="text1"/>
                <w:spacing w:val="-2"/>
                <w:sz w:val="22"/>
                <w:szCs w:val="22"/>
                <w:lang w:val="en-IE"/>
              </w:rPr>
            </w:pPr>
            <w:r w:rsidRPr="006C104F">
              <w:rPr>
                <w:rFonts w:eastAsia="MS Mincho"/>
                <w:b/>
                <w:color w:val="000000" w:themeColor="text1"/>
                <w:spacing w:val="-2"/>
                <w:sz w:val="22"/>
                <w:szCs w:val="22"/>
                <w:lang w:val="en-IE"/>
              </w:rPr>
              <w:t>30</w:t>
            </w:r>
          </w:p>
        </w:tc>
      </w:tr>
      <w:tr w:rsidR="004A6949" w:rsidRPr="006C104F" w14:paraId="3DAF1DEA" w14:textId="77777777" w:rsidTr="001F7962">
        <w:trPr>
          <w:trHeight w:val="815"/>
          <w:tblCellSpacing w:w="20" w:type="dxa"/>
          <w:jc w:val="center"/>
        </w:trPr>
        <w:tc>
          <w:tcPr>
            <w:tcW w:w="1510" w:type="dxa"/>
            <w:shd w:val="clear" w:color="auto" w:fill="auto"/>
            <w:vAlign w:val="center"/>
          </w:tcPr>
          <w:p w14:paraId="45616B56" w14:textId="6A40763A" w:rsidR="004A6949" w:rsidRPr="006C104F" w:rsidRDefault="004A6949" w:rsidP="00A468CB">
            <w:pPr>
              <w:rPr>
                <w:rFonts w:eastAsia="MS Mincho"/>
                <w:b/>
                <w:color w:val="000000" w:themeColor="text1"/>
                <w:spacing w:val="-2"/>
                <w:sz w:val="22"/>
                <w:szCs w:val="22"/>
                <w:lang w:val="en-IE"/>
              </w:rPr>
            </w:pPr>
            <w:r w:rsidRPr="006C104F">
              <w:rPr>
                <w:rFonts w:eastAsia="MS Mincho"/>
                <w:b/>
                <w:color w:val="000000" w:themeColor="text1"/>
                <w:spacing w:val="-2"/>
                <w:sz w:val="22"/>
                <w:szCs w:val="22"/>
                <w:lang w:val="en-IE"/>
              </w:rPr>
              <w:t>Ultimate Cost</w:t>
            </w:r>
          </w:p>
        </w:tc>
        <w:tc>
          <w:tcPr>
            <w:tcW w:w="5753" w:type="dxa"/>
            <w:shd w:val="clear" w:color="auto" w:fill="auto"/>
            <w:vAlign w:val="center"/>
          </w:tcPr>
          <w:p w14:paraId="455FAE5D" w14:textId="77777777" w:rsidR="004A6949" w:rsidRPr="006C104F" w:rsidRDefault="004A6949" w:rsidP="00A468CB">
            <w:pPr>
              <w:tabs>
                <w:tab w:val="left" w:pos="-720"/>
              </w:tabs>
              <w:suppressAutoHyphens/>
              <w:ind w:left="792" w:right="252" w:hanging="792"/>
              <w:rPr>
                <w:rFonts w:eastAsia="MS Mincho"/>
                <w:b/>
                <w:color w:val="000000" w:themeColor="text1"/>
                <w:spacing w:val="-2"/>
                <w:sz w:val="22"/>
                <w:szCs w:val="22"/>
                <w:lang w:val="en-IE"/>
              </w:rPr>
            </w:pPr>
            <w:r w:rsidRPr="006C104F">
              <w:rPr>
                <w:rFonts w:eastAsia="MS Mincho"/>
                <w:b/>
                <w:color w:val="000000" w:themeColor="text1"/>
                <w:spacing w:val="-2"/>
                <w:sz w:val="22"/>
                <w:szCs w:val="22"/>
                <w:lang w:val="en-IE"/>
              </w:rPr>
              <w:t xml:space="preserve">Cost </w:t>
            </w:r>
          </w:p>
          <w:p w14:paraId="02B103C0" w14:textId="20C52D20" w:rsidR="004A6949" w:rsidRPr="006C104F" w:rsidRDefault="004A6949" w:rsidP="00A468CB">
            <w:pPr>
              <w:tabs>
                <w:tab w:val="left" w:pos="-720"/>
              </w:tabs>
              <w:suppressAutoHyphens/>
              <w:ind w:right="252"/>
              <w:rPr>
                <w:i/>
                <w:color w:val="000000" w:themeColor="text1"/>
                <w:spacing w:val="-3"/>
                <w:sz w:val="22"/>
                <w:szCs w:val="22"/>
                <w:lang w:val="en-US"/>
              </w:rPr>
            </w:pPr>
            <w:r w:rsidRPr="006C104F">
              <w:rPr>
                <w:i/>
                <w:color w:val="000000" w:themeColor="text1"/>
                <w:spacing w:val="-3"/>
                <w:sz w:val="22"/>
                <w:szCs w:val="22"/>
                <w:lang w:val="en-US"/>
              </w:rPr>
              <w:t xml:space="preserve">(The tendered overall ‘total fee’ </w:t>
            </w:r>
            <w:r w:rsidR="00512D21" w:rsidRPr="006C104F">
              <w:rPr>
                <w:i/>
                <w:color w:val="000000" w:themeColor="text1"/>
                <w:spacing w:val="-3"/>
                <w:sz w:val="22"/>
                <w:szCs w:val="22"/>
                <w:lang w:val="en-US"/>
              </w:rPr>
              <w:t xml:space="preserve">for the Services defined at Section 2 of this RFQ </w:t>
            </w:r>
            <w:r w:rsidRPr="006C104F">
              <w:rPr>
                <w:i/>
                <w:color w:val="000000" w:themeColor="text1"/>
                <w:spacing w:val="-3"/>
                <w:sz w:val="22"/>
                <w:szCs w:val="22"/>
                <w:lang w:val="en-US"/>
              </w:rPr>
              <w:t xml:space="preserve">will be </w:t>
            </w:r>
            <w:r w:rsidR="00784789" w:rsidRPr="006C104F">
              <w:rPr>
                <w:i/>
                <w:color w:val="000000" w:themeColor="text1"/>
                <w:spacing w:val="-3"/>
                <w:sz w:val="22"/>
                <w:szCs w:val="22"/>
                <w:lang w:val="en-US"/>
              </w:rPr>
              <w:t>a</w:t>
            </w:r>
            <w:r w:rsidR="004C6F8D" w:rsidRPr="004C6F8D">
              <w:rPr>
                <w:sz w:val="22"/>
                <w:szCs w:val="22"/>
              </w:rPr>
              <w:t xml:space="preserve"> </w:t>
            </w:r>
            <w:r w:rsidR="004C6F8D" w:rsidRPr="004C6F8D">
              <w:rPr>
                <w:i/>
                <w:color w:val="000000" w:themeColor="text1"/>
                <w:spacing w:val="-3"/>
                <w:sz w:val="22"/>
                <w:szCs w:val="22"/>
              </w:rPr>
              <w:t xml:space="preserve">of </w:t>
            </w:r>
            <w:r w:rsidR="004C6F8D" w:rsidRPr="004C6F8D">
              <w:rPr>
                <w:b/>
                <w:i/>
                <w:color w:val="FF0000"/>
                <w:spacing w:val="-3"/>
                <w:sz w:val="22"/>
                <w:szCs w:val="22"/>
              </w:rPr>
              <w:t xml:space="preserve">a price not exceeding €40,000 </w:t>
            </w:r>
            <w:r w:rsidR="004C6F8D" w:rsidRPr="004C6F8D">
              <w:rPr>
                <w:bCs/>
                <w:i/>
                <w:spacing w:val="-3"/>
                <w:sz w:val="22"/>
                <w:szCs w:val="22"/>
              </w:rPr>
              <w:t>a</w:t>
            </w:r>
            <w:r w:rsidR="00784789" w:rsidRPr="006C104F">
              <w:rPr>
                <w:i/>
                <w:color w:val="000000" w:themeColor="text1"/>
                <w:spacing w:val="-3"/>
                <w:sz w:val="22"/>
                <w:szCs w:val="22"/>
                <w:lang w:val="en-US"/>
              </w:rPr>
              <w:t xml:space="preserve">nd </w:t>
            </w:r>
            <w:r w:rsidRPr="006C104F">
              <w:rPr>
                <w:i/>
                <w:color w:val="000000" w:themeColor="text1"/>
                <w:spacing w:val="-3"/>
                <w:sz w:val="22"/>
                <w:szCs w:val="22"/>
                <w:lang w:val="en-US"/>
              </w:rPr>
              <w:t>evaluated by pro-rata formula – lowest cost valid RFQ multiplied by maximum marks and divided by cost for the RFQ being assessed).</w:t>
            </w:r>
            <w:r w:rsidR="00784789" w:rsidRPr="006C104F">
              <w:rPr>
                <w:i/>
                <w:color w:val="000000" w:themeColor="text1"/>
                <w:spacing w:val="-3"/>
                <w:sz w:val="22"/>
                <w:szCs w:val="22"/>
                <w:lang w:val="en-US"/>
              </w:rPr>
              <w:t xml:space="preserve"> </w:t>
            </w:r>
          </w:p>
          <w:p w14:paraId="5BE987AF" w14:textId="1D826F0A" w:rsidR="004A6949" w:rsidRPr="006C104F" w:rsidRDefault="004A6949" w:rsidP="00A468CB">
            <w:pPr>
              <w:jc w:val="center"/>
              <w:rPr>
                <w:b/>
                <w:color w:val="000000" w:themeColor="text1"/>
                <w:sz w:val="22"/>
                <w:szCs w:val="22"/>
              </w:rPr>
            </w:pPr>
            <w:r w:rsidRPr="006C104F">
              <w:rPr>
                <w:i/>
                <w:color w:val="000000" w:themeColor="text1"/>
                <w:spacing w:val="-3"/>
                <w:sz w:val="22"/>
                <w:szCs w:val="22"/>
                <w:lang w:val="en-US"/>
              </w:rPr>
              <w:br/>
            </w:r>
            <w:r w:rsidRPr="006C104F">
              <w:rPr>
                <w:i/>
                <w:color w:val="000000" w:themeColor="text1"/>
                <w:spacing w:val="-3"/>
                <w:sz w:val="22"/>
                <w:szCs w:val="22"/>
                <w:u w:val="single"/>
                <w:lang w:val="en-US"/>
              </w:rPr>
              <w:t>Total Marks available X Lowest Cost RFQ</w:t>
            </w:r>
            <w:r w:rsidRPr="006C104F">
              <w:rPr>
                <w:i/>
                <w:color w:val="000000" w:themeColor="text1"/>
                <w:spacing w:val="-3"/>
                <w:sz w:val="22"/>
                <w:szCs w:val="22"/>
                <w:lang w:val="en-US"/>
              </w:rPr>
              <w:br/>
            </w:r>
            <w:r w:rsidR="00F11BE4" w:rsidRPr="006C104F">
              <w:rPr>
                <w:i/>
                <w:color w:val="000000" w:themeColor="text1"/>
                <w:spacing w:val="-3"/>
                <w:sz w:val="22"/>
                <w:szCs w:val="22"/>
                <w:lang w:val="en-US"/>
              </w:rPr>
              <w:t xml:space="preserve">Cost for the </w:t>
            </w:r>
            <w:r w:rsidRPr="006C104F">
              <w:rPr>
                <w:i/>
                <w:color w:val="000000" w:themeColor="text1"/>
                <w:spacing w:val="-3"/>
                <w:sz w:val="22"/>
                <w:szCs w:val="22"/>
                <w:lang w:val="en-US"/>
              </w:rPr>
              <w:t>RFQ being assessed</w:t>
            </w:r>
          </w:p>
          <w:p w14:paraId="2907217D" w14:textId="77777777" w:rsidR="004A6949" w:rsidRPr="006C104F" w:rsidRDefault="004A6949" w:rsidP="00A468CB">
            <w:pPr>
              <w:rPr>
                <w:rFonts w:eastAsia="MS Mincho"/>
                <w:b/>
                <w:color w:val="000000" w:themeColor="text1"/>
                <w:spacing w:val="-2"/>
                <w:sz w:val="22"/>
                <w:szCs w:val="22"/>
                <w:lang w:val="en-IE"/>
              </w:rPr>
            </w:pPr>
          </w:p>
        </w:tc>
        <w:tc>
          <w:tcPr>
            <w:tcW w:w="1641" w:type="dxa"/>
            <w:shd w:val="clear" w:color="auto" w:fill="CCCCCC"/>
            <w:vAlign w:val="center"/>
          </w:tcPr>
          <w:p w14:paraId="119C8BE2" w14:textId="77777777" w:rsidR="004A6949" w:rsidRPr="006C104F" w:rsidRDefault="004A6949" w:rsidP="00A468CB">
            <w:pPr>
              <w:jc w:val="center"/>
              <w:rPr>
                <w:rFonts w:eastAsia="MS Mincho"/>
                <w:b/>
                <w:color w:val="000000" w:themeColor="text1"/>
                <w:spacing w:val="-2"/>
                <w:sz w:val="22"/>
                <w:szCs w:val="22"/>
                <w:lang w:val="en-IE"/>
              </w:rPr>
            </w:pPr>
            <w:r w:rsidRPr="006C104F">
              <w:rPr>
                <w:rFonts w:eastAsia="MS Mincho"/>
                <w:b/>
                <w:color w:val="000000" w:themeColor="text1"/>
                <w:spacing w:val="-2"/>
                <w:sz w:val="22"/>
                <w:szCs w:val="22"/>
                <w:lang w:val="en-IE"/>
              </w:rPr>
              <w:t>40</w:t>
            </w:r>
          </w:p>
        </w:tc>
      </w:tr>
      <w:tr w:rsidR="004A6949" w:rsidRPr="006C104F" w14:paraId="44423A49" w14:textId="77777777" w:rsidTr="001F7962">
        <w:trPr>
          <w:trHeight w:val="507"/>
          <w:tblCellSpacing w:w="20" w:type="dxa"/>
          <w:jc w:val="center"/>
        </w:trPr>
        <w:tc>
          <w:tcPr>
            <w:tcW w:w="1510" w:type="dxa"/>
            <w:shd w:val="clear" w:color="auto" w:fill="737373"/>
            <w:vAlign w:val="center"/>
          </w:tcPr>
          <w:p w14:paraId="021B786C" w14:textId="77777777" w:rsidR="004A6949" w:rsidRPr="006C104F" w:rsidRDefault="004A6949" w:rsidP="00A468CB">
            <w:pPr>
              <w:jc w:val="center"/>
              <w:rPr>
                <w:rFonts w:eastAsia="MS Mincho"/>
                <w:b/>
                <w:color w:val="FFFFFF"/>
                <w:spacing w:val="-2"/>
                <w:sz w:val="22"/>
                <w:szCs w:val="22"/>
                <w:lang w:val="en-IE"/>
              </w:rPr>
            </w:pPr>
            <w:r w:rsidRPr="006C104F">
              <w:rPr>
                <w:rFonts w:eastAsia="MS Mincho"/>
                <w:b/>
                <w:color w:val="FFFFFF"/>
                <w:spacing w:val="-2"/>
                <w:sz w:val="22"/>
                <w:szCs w:val="22"/>
                <w:lang w:val="en-IE"/>
              </w:rPr>
              <w:t>Total</w:t>
            </w:r>
          </w:p>
        </w:tc>
        <w:tc>
          <w:tcPr>
            <w:tcW w:w="5753" w:type="dxa"/>
            <w:shd w:val="clear" w:color="auto" w:fill="737373"/>
            <w:vAlign w:val="center"/>
          </w:tcPr>
          <w:p w14:paraId="72E7759D" w14:textId="77777777" w:rsidR="004A6949" w:rsidRPr="006C104F" w:rsidRDefault="004A6949" w:rsidP="00A468CB">
            <w:pPr>
              <w:jc w:val="center"/>
              <w:rPr>
                <w:rFonts w:eastAsia="MS Mincho"/>
                <w:b/>
                <w:color w:val="FFFFFF"/>
                <w:spacing w:val="-2"/>
                <w:sz w:val="22"/>
                <w:szCs w:val="22"/>
                <w:lang w:val="en-IE"/>
              </w:rPr>
            </w:pPr>
          </w:p>
        </w:tc>
        <w:tc>
          <w:tcPr>
            <w:tcW w:w="1641" w:type="dxa"/>
            <w:shd w:val="clear" w:color="auto" w:fill="737373"/>
            <w:vAlign w:val="center"/>
          </w:tcPr>
          <w:p w14:paraId="3497F296" w14:textId="77777777" w:rsidR="004A6949" w:rsidRPr="006C104F" w:rsidRDefault="004A6949" w:rsidP="00A468CB">
            <w:pPr>
              <w:jc w:val="center"/>
              <w:rPr>
                <w:rFonts w:eastAsia="MS Mincho"/>
                <w:b/>
                <w:color w:val="FFFFFF"/>
                <w:spacing w:val="-2"/>
                <w:sz w:val="22"/>
                <w:szCs w:val="22"/>
                <w:lang w:val="en-IE"/>
              </w:rPr>
            </w:pPr>
            <w:r w:rsidRPr="006C104F">
              <w:rPr>
                <w:rFonts w:eastAsia="MS Mincho"/>
                <w:b/>
                <w:color w:val="FFFFFF"/>
                <w:spacing w:val="-2"/>
                <w:sz w:val="22"/>
                <w:szCs w:val="22"/>
                <w:lang w:val="en-IE"/>
              </w:rPr>
              <w:t>100</w:t>
            </w:r>
          </w:p>
        </w:tc>
      </w:tr>
    </w:tbl>
    <w:p w14:paraId="3BC2DB89" w14:textId="77777777" w:rsidR="004A6949" w:rsidRPr="006C104F" w:rsidRDefault="004A6949" w:rsidP="004A6949">
      <w:pPr>
        <w:spacing w:line="240" w:lineRule="atLeast"/>
        <w:ind w:left="720"/>
        <w:jc w:val="both"/>
        <w:rPr>
          <w:sz w:val="22"/>
          <w:szCs w:val="22"/>
        </w:rPr>
      </w:pPr>
    </w:p>
    <w:p w14:paraId="3D6CE884" w14:textId="77777777" w:rsidR="004A6949" w:rsidRPr="006C104F" w:rsidRDefault="004A6949" w:rsidP="004A6949">
      <w:pPr>
        <w:jc w:val="center"/>
        <w:rPr>
          <w:b/>
          <w:sz w:val="22"/>
          <w:szCs w:val="22"/>
        </w:rPr>
      </w:pPr>
    </w:p>
    <w:p w14:paraId="5BB43611" w14:textId="77777777" w:rsidR="00AE0397" w:rsidRPr="006C104F" w:rsidRDefault="00AE0397" w:rsidP="004A6949">
      <w:pPr>
        <w:ind w:left="709" w:hanging="709"/>
        <w:jc w:val="both"/>
        <w:rPr>
          <w:sz w:val="22"/>
          <w:szCs w:val="22"/>
        </w:rPr>
      </w:pPr>
    </w:p>
    <w:p w14:paraId="2B8B02F8" w14:textId="092D0642" w:rsidR="004A6949" w:rsidRPr="006C104F" w:rsidRDefault="00791EA5" w:rsidP="004A6949">
      <w:pPr>
        <w:jc w:val="both"/>
        <w:rPr>
          <w:b/>
          <w:sz w:val="22"/>
          <w:szCs w:val="22"/>
        </w:rPr>
      </w:pPr>
      <w:r w:rsidRPr="006C104F">
        <w:rPr>
          <w:b/>
          <w:sz w:val="22"/>
          <w:szCs w:val="22"/>
        </w:rPr>
        <w:t>5</w:t>
      </w:r>
      <w:r w:rsidR="004A6949" w:rsidRPr="006C104F">
        <w:rPr>
          <w:b/>
          <w:sz w:val="22"/>
          <w:szCs w:val="22"/>
        </w:rPr>
        <w:t xml:space="preserve">. </w:t>
      </w:r>
      <w:r w:rsidR="004A6949" w:rsidRPr="006C104F">
        <w:rPr>
          <w:b/>
          <w:sz w:val="22"/>
          <w:szCs w:val="22"/>
        </w:rPr>
        <w:tab/>
        <w:t>CONTRACT</w:t>
      </w:r>
    </w:p>
    <w:p w14:paraId="0EFDA0F0" w14:textId="77777777" w:rsidR="004A6949" w:rsidRPr="006C104F" w:rsidRDefault="004A6949" w:rsidP="004A6949">
      <w:pPr>
        <w:ind w:left="709" w:hanging="709"/>
        <w:jc w:val="both"/>
        <w:rPr>
          <w:b/>
          <w:sz w:val="22"/>
          <w:szCs w:val="22"/>
        </w:rPr>
      </w:pPr>
      <w:r w:rsidRPr="006C104F">
        <w:rPr>
          <w:b/>
          <w:sz w:val="22"/>
          <w:szCs w:val="22"/>
        </w:rPr>
        <w:tab/>
      </w:r>
    </w:p>
    <w:p w14:paraId="7905F445" w14:textId="3B074A56" w:rsidR="002F6AA4" w:rsidRPr="006C104F" w:rsidRDefault="00791EA5" w:rsidP="009C04E2">
      <w:pPr>
        <w:pStyle w:val="BodyText2"/>
        <w:ind w:left="720" w:hanging="720"/>
        <w:rPr>
          <w:sz w:val="22"/>
          <w:szCs w:val="22"/>
        </w:rPr>
      </w:pPr>
      <w:r w:rsidRPr="006C104F">
        <w:rPr>
          <w:sz w:val="22"/>
          <w:szCs w:val="22"/>
        </w:rPr>
        <w:t>5</w:t>
      </w:r>
      <w:r w:rsidR="004A6949" w:rsidRPr="006C104F">
        <w:rPr>
          <w:sz w:val="22"/>
          <w:szCs w:val="22"/>
        </w:rPr>
        <w:t>.1</w:t>
      </w:r>
      <w:r w:rsidR="004A6949" w:rsidRPr="006C104F">
        <w:rPr>
          <w:sz w:val="22"/>
          <w:szCs w:val="22"/>
        </w:rPr>
        <w:tab/>
      </w:r>
      <w:r w:rsidR="009C04E2" w:rsidRPr="006C104F">
        <w:rPr>
          <w:sz w:val="22"/>
          <w:szCs w:val="22"/>
        </w:rPr>
        <w:t xml:space="preserve">Tenderers should take note that this Request for Quote does not constitute an offer or commitment to enter into an agreement. No contractual rights in relation to the Department will exist unless and until a Tenderer’s tender proposal is successful and </w:t>
      </w:r>
      <w:r w:rsidR="00EA309D" w:rsidRPr="006C104F">
        <w:rPr>
          <w:sz w:val="22"/>
          <w:szCs w:val="22"/>
        </w:rPr>
        <w:t xml:space="preserve">the Department issues an order to the successful tenderer only then will an </w:t>
      </w:r>
      <w:r w:rsidR="009C04E2" w:rsidRPr="006C104F">
        <w:rPr>
          <w:sz w:val="22"/>
          <w:szCs w:val="22"/>
        </w:rPr>
        <w:t xml:space="preserve">agreement </w:t>
      </w:r>
      <w:r w:rsidR="00EA309D" w:rsidRPr="006C104F">
        <w:rPr>
          <w:sz w:val="22"/>
          <w:szCs w:val="22"/>
        </w:rPr>
        <w:t xml:space="preserve">be in place between </w:t>
      </w:r>
      <w:r w:rsidR="009C04E2" w:rsidRPr="006C104F">
        <w:rPr>
          <w:sz w:val="22"/>
          <w:szCs w:val="22"/>
        </w:rPr>
        <w:t>the Parties.</w:t>
      </w:r>
    </w:p>
    <w:p w14:paraId="7478E22A" w14:textId="38EDACF2" w:rsidR="002F6AA4" w:rsidRPr="006C104F" w:rsidRDefault="002F6AA4" w:rsidP="003B14A3">
      <w:pPr>
        <w:pStyle w:val="BodyText2"/>
        <w:rPr>
          <w:sz w:val="22"/>
          <w:szCs w:val="22"/>
        </w:rPr>
      </w:pPr>
    </w:p>
    <w:p w14:paraId="034FA1B3" w14:textId="77777777" w:rsidR="00EA309D" w:rsidRPr="006C104F" w:rsidRDefault="00791EA5" w:rsidP="009C04E2">
      <w:pPr>
        <w:pStyle w:val="PlainText"/>
        <w:ind w:left="720" w:hanging="720"/>
        <w:jc w:val="both"/>
        <w:rPr>
          <w:rFonts w:ascii="Times New Roman" w:eastAsia="Times New Roman" w:hAnsi="Times New Roman"/>
          <w:sz w:val="22"/>
          <w:szCs w:val="22"/>
          <w:lang w:val="en-GB"/>
        </w:rPr>
      </w:pPr>
      <w:r w:rsidRPr="006C104F">
        <w:rPr>
          <w:rFonts w:ascii="Times New Roman" w:eastAsia="Times New Roman" w:hAnsi="Times New Roman"/>
          <w:sz w:val="22"/>
          <w:szCs w:val="22"/>
          <w:lang w:val="en-GB"/>
        </w:rPr>
        <w:t>5.2</w:t>
      </w:r>
      <w:r w:rsidRPr="006C104F">
        <w:rPr>
          <w:rFonts w:ascii="Times New Roman" w:eastAsia="Times New Roman" w:hAnsi="Times New Roman"/>
          <w:sz w:val="22"/>
          <w:szCs w:val="22"/>
          <w:lang w:val="en-GB"/>
        </w:rPr>
        <w:tab/>
      </w:r>
      <w:r w:rsidR="009C04E2" w:rsidRPr="006C104F">
        <w:rPr>
          <w:rFonts w:ascii="Times New Roman" w:eastAsia="Times New Roman" w:hAnsi="Times New Roman"/>
          <w:sz w:val="22"/>
          <w:szCs w:val="22"/>
          <w:lang w:val="en-GB"/>
        </w:rPr>
        <w:t>The successful tenderer will be required to accept the terms and conditions contained at Appendix 1 completing the table at Appendix 2 and submitting it with their Tender proposal</w:t>
      </w:r>
      <w:r w:rsidR="00EA309D" w:rsidRPr="006C104F">
        <w:rPr>
          <w:rFonts w:ascii="Times New Roman" w:eastAsia="Times New Roman" w:hAnsi="Times New Roman"/>
          <w:sz w:val="22"/>
          <w:szCs w:val="22"/>
          <w:lang w:val="en-GB"/>
        </w:rPr>
        <w:t>.</w:t>
      </w:r>
    </w:p>
    <w:p w14:paraId="5A68CA86" w14:textId="77777777" w:rsidR="00EA309D" w:rsidRPr="006C104F" w:rsidRDefault="00EA309D" w:rsidP="009C04E2">
      <w:pPr>
        <w:pStyle w:val="PlainText"/>
        <w:ind w:left="720" w:hanging="720"/>
        <w:jc w:val="both"/>
        <w:rPr>
          <w:rFonts w:ascii="Times New Roman" w:eastAsia="Times New Roman" w:hAnsi="Times New Roman"/>
          <w:sz w:val="22"/>
          <w:szCs w:val="22"/>
          <w:lang w:val="en-GB"/>
        </w:rPr>
      </w:pPr>
    </w:p>
    <w:p w14:paraId="66F7CD0D" w14:textId="32FF8A37" w:rsidR="002F6AA4" w:rsidRPr="006C104F" w:rsidRDefault="00EA309D" w:rsidP="0017054E">
      <w:pPr>
        <w:pStyle w:val="PlainText"/>
        <w:ind w:left="720" w:hanging="720"/>
        <w:jc w:val="both"/>
        <w:rPr>
          <w:rFonts w:ascii="Times New Roman" w:eastAsia="Times New Roman" w:hAnsi="Times New Roman"/>
          <w:sz w:val="22"/>
          <w:szCs w:val="22"/>
          <w:lang w:val="en-GB"/>
        </w:rPr>
      </w:pPr>
      <w:r w:rsidRPr="006C104F">
        <w:rPr>
          <w:rFonts w:ascii="Times New Roman" w:eastAsia="Times New Roman" w:hAnsi="Times New Roman"/>
          <w:sz w:val="22"/>
          <w:szCs w:val="22"/>
          <w:lang w:val="en-GB"/>
        </w:rPr>
        <w:t>5.3</w:t>
      </w:r>
      <w:r w:rsidRPr="006C104F">
        <w:rPr>
          <w:rFonts w:ascii="Times New Roman" w:eastAsia="Times New Roman" w:hAnsi="Times New Roman"/>
          <w:sz w:val="22"/>
          <w:szCs w:val="22"/>
          <w:lang w:val="en-GB"/>
        </w:rPr>
        <w:tab/>
        <w:t>Th</w:t>
      </w:r>
      <w:r w:rsidR="009C04E2" w:rsidRPr="006C104F">
        <w:rPr>
          <w:rFonts w:ascii="Times New Roman" w:eastAsia="Times New Roman" w:hAnsi="Times New Roman"/>
          <w:sz w:val="22"/>
          <w:szCs w:val="22"/>
          <w:lang w:val="en-GB"/>
        </w:rPr>
        <w:t>e terms and con</w:t>
      </w:r>
      <w:r w:rsidRPr="006C104F">
        <w:rPr>
          <w:rFonts w:ascii="Times New Roman" w:eastAsia="Times New Roman" w:hAnsi="Times New Roman"/>
          <w:sz w:val="22"/>
          <w:szCs w:val="22"/>
          <w:lang w:val="en-GB"/>
        </w:rPr>
        <w:t xml:space="preserve">ditions contained at Appendix 1, </w:t>
      </w:r>
      <w:r w:rsidR="009C04E2" w:rsidRPr="006C104F">
        <w:rPr>
          <w:rFonts w:ascii="Times New Roman" w:eastAsia="Times New Roman" w:hAnsi="Times New Roman"/>
          <w:sz w:val="22"/>
          <w:szCs w:val="22"/>
          <w:lang w:val="en-GB"/>
        </w:rPr>
        <w:t>your tender proposal</w:t>
      </w:r>
      <w:r w:rsidRPr="006C104F">
        <w:rPr>
          <w:rFonts w:ascii="Times New Roman" w:eastAsia="Times New Roman" w:hAnsi="Times New Roman"/>
          <w:sz w:val="22"/>
          <w:szCs w:val="22"/>
          <w:lang w:val="en-GB"/>
        </w:rPr>
        <w:t xml:space="preserve"> and the order issued by the Department to the successful tenderer</w:t>
      </w:r>
      <w:r w:rsidR="009C04E2" w:rsidRPr="006C104F">
        <w:rPr>
          <w:rFonts w:ascii="Times New Roman" w:eastAsia="Times New Roman" w:hAnsi="Times New Roman"/>
          <w:sz w:val="22"/>
          <w:szCs w:val="22"/>
          <w:lang w:val="en-GB"/>
        </w:rPr>
        <w:t xml:space="preserve"> will constitute the contract between the Department and the successful tenderer.</w:t>
      </w:r>
      <w:r w:rsidR="0017054E" w:rsidRPr="006C104F">
        <w:rPr>
          <w:rFonts w:ascii="Times New Roman" w:eastAsia="Times New Roman" w:hAnsi="Times New Roman"/>
          <w:sz w:val="22"/>
          <w:szCs w:val="22"/>
          <w:lang w:val="en-GB"/>
        </w:rPr>
        <w:t xml:space="preserve"> The contract will begin on the date upon which the order is sent.</w:t>
      </w:r>
      <w:r w:rsidR="009C04E2" w:rsidRPr="006C104F">
        <w:rPr>
          <w:rFonts w:ascii="Times New Roman" w:eastAsia="Times New Roman" w:hAnsi="Times New Roman"/>
          <w:sz w:val="22"/>
          <w:szCs w:val="22"/>
          <w:lang w:val="en-GB"/>
        </w:rPr>
        <w:t xml:space="preserve"> In the event of any conflict between </w:t>
      </w:r>
      <w:r w:rsidR="0017054E" w:rsidRPr="006C104F">
        <w:rPr>
          <w:rFonts w:ascii="Times New Roman" w:eastAsia="Times New Roman" w:hAnsi="Times New Roman"/>
          <w:sz w:val="22"/>
          <w:szCs w:val="22"/>
          <w:lang w:val="en-GB"/>
        </w:rPr>
        <w:t>the terms</w:t>
      </w:r>
      <w:r w:rsidR="009C04E2" w:rsidRPr="006C104F">
        <w:rPr>
          <w:rFonts w:ascii="Times New Roman" w:eastAsia="Times New Roman" w:hAnsi="Times New Roman"/>
          <w:sz w:val="22"/>
          <w:szCs w:val="22"/>
          <w:lang w:val="en-GB"/>
        </w:rPr>
        <w:t xml:space="preserve"> and conditions contained at Appendix 1 and your tender proposal, the terms and conditions at Appendix 1 shall prevail.</w:t>
      </w:r>
    </w:p>
    <w:p w14:paraId="4B825320" w14:textId="77777777" w:rsidR="002F6AA4" w:rsidRPr="006C104F" w:rsidRDefault="002F6AA4" w:rsidP="002F6AA4">
      <w:pPr>
        <w:pStyle w:val="PlainText"/>
        <w:jc w:val="both"/>
        <w:rPr>
          <w:rFonts w:ascii="Times New Roman" w:eastAsia="Times New Roman" w:hAnsi="Times New Roman"/>
          <w:sz w:val="22"/>
          <w:szCs w:val="22"/>
          <w:lang w:val="en-GB"/>
        </w:rPr>
      </w:pPr>
    </w:p>
    <w:p w14:paraId="61BBBF93" w14:textId="21BB8934" w:rsidR="002F6AA4" w:rsidRPr="006C104F" w:rsidRDefault="00791EA5" w:rsidP="00791EA5">
      <w:pPr>
        <w:pStyle w:val="PlainText"/>
        <w:ind w:left="720" w:hanging="720"/>
        <w:jc w:val="both"/>
        <w:rPr>
          <w:rFonts w:ascii="Times New Roman" w:eastAsia="Times New Roman" w:hAnsi="Times New Roman"/>
          <w:sz w:val="22"/>
          <w:szCs w:val="22"/>
          <w:lang w:val="en-GB"/>
        </w:rPr>
      </w:pPr>
      <w:r w:rsidRPr="006C104F">
        <w:rPr>
          <w:rFonts w:ascii="Times New Roman" w:eastAsia="Times New Roman" w:hAnsi="Times New Roman"/>
          <w:sz w:val="22"/>
          <w:szCs w:val="22"/>
          <w:lang w:val="en-GB"/>
        </w:rPr>
        <w:t>5.</w:t>
      </w:r>
      <w:r w:rsidR="00EA309D" w:rsidRPr="006C104F">
        <w:rPr>
          <w:rFonts w:ascii="Times New Roman" w:eastAsia="Times New Roman" w:hAnsi="Times New Roman"/>
          <w:sz w:val="22"/>
          <w:szCs w:val="22"/>
          <w:lang w:val="en-GB"/>
        </w:rPr>
        <w:t>4</w:t>
      </w:r>
      <w:r w:rsidRPr="006C104F">
        <w:rPr>
          <w:rFonts w:ascii="Times New Roman" w:eastAsia="Times New Roman" w:hAnsi="Times New Roman"/>
          <w:sz w:val="22"/>
          <w:szCs w:val="22"/>
          <w:lang w:val="en-GB"/>
        </w:rPr>
        <w:tab/>
      </w:r>
      <w:r w:rsidR="002F6AA4" w:rsidRPr="006C104F">
        <w:rPr>
          <w:rFonts w:ascii="Times New Roman" w:eastAsia="Times New Roman" w:hAnsi="Times New Roman"/>
          <w:sz w:val="22"/>
          <w:szCs w:val="22"/>
          <w:lang w:val="en-GB"/>
        </w:rPr>
        <w:t xml:space="preserve">Any notification of preferred bidder status by the Department shall not give rise to any enforceable rights by the Tenderer. </w:t>
      </w:r>
    </w:p>
    <w:p w14:paraId="7AB15925" w14:textId="77777777" w:rsidR="002F6AA4" w:rsidRPr="006C104F" w:rsidRDefault="002F6AA4" w:rsidP="002F6AA4">
      <w:pPr>
        <w:pStyle w:val="PlainText"/>
        <w:jc w:val="both"/>
        <w:rPr>
          <w:rFonts w:ascii="Times New Roman" w:eastAsia="Times New Roman" w:hAnsi="Times New Roman"/>
          <w:sz w:val="22"/>
          <w:szCs w:val="22"/>
          <w:lang w:val="en-GB"/>
        </w:rPr>
      </w:pPr>
    </w:p>
    <w:p w14:paraId="32876AD6" w14:textId="328B6011" w:rsidR="00E76106" w:rsidRPr="006C104F" w:rsidRDefault="00791EA5" w:rsidP="00FD4F0F">
      <w:pPr>
        <w:pStyle w:val="PlainText"/>
        <w:ind w:left="720" w:hanging="720"/>
        <w:jc w:val="both"/>
        <w:rPr>
          <w:rFonts w:ascii="Times New Roman" w:eastAsia="Times New Roman" w:hAnsi="Times New Roman"/>
          <w:sz w:val="22"/>
          <w:szCs w:val="22"/>
          <w:lang w:val="en-GB"/>
        </w:rPr>
      </w:pPr>
      <w:r w:rsidRPr="006C104F">
        <w:rPr>
          <w:rFonts w:ascii="Times New Roman" w:eastAsia="Times New Roman" w:hAnsi="Times New Roman"/>
          <w:sz w:val="22"/>
          <w:szCs w:val="22"/>
          <w:lang w:val="en-GB"/>
        </w:rPr>
        <w:t>5.</w:t>
      </w:r>
      <w:r w:rsidR="00EA309D" w:rsidRPr="006C104F">
        <w:rPr>
          <w:rFonts w:ascii="Times New Roman" w:eastAsia="Times New Roman" w:hAnsi="Times New Roman"/>
          <w:sz w:val="22"/>
          <w:szCs w:val="22"/>
          <w:lang w:val="en-GB"/>
        </w:rPr>
        <w:t>5</w:t>
      </w:r>
      <w:r w:rsidRPr="006C104F">
        <w:rPr>
          <w:rFonts w:ascii="Times New Roman" w:eastAsia="Times New Roman" w:hAnsi="Times New Roman"/>
          <w:sz w:val="22"/>
          <w:szCs w:val="22"/>
          <w:lang w:val="en-GB"/>
        </w:rPr>
        <w:tab/>
      </w:r>
      <w:r w:rsidR="002F6AA4" w:rsidRPr="006C104F">
        <w:rPr>
          <w:rFonts w:ascii="Times New Roman" w:eastAsia="Times New Roman" w:hAnsi="Times New Roman"/>
          <w:sz w:val="22"/>
          <w:szCs w:val="22"/>
          <w:lang w:val="en-GB"/>
        </w:rPr>
        <w:t>The Depa</w:t>
      </w:r>
      <w:r w:rsidR="00E76106" w:rsidRPr="006C104F">
        <w:rPr>
          <w:rFonts w:ascii="Times New Roman" w:eastAsia="Times New Roman" w:hAnsi="Times New Roman"/>
          <w:sz w:val="22"/>
          <w:szCs w:val="22"/>
          <w:lang w:val="en-GB"/>
        </w:rPr>
        <w:t>rtment may cancel this c</w:t>
      </w:r>
      <w:r w:rsidR="002F6AA4" w:rsidRPr="006C104F">
        <w:rPr>
          <w:rFonts w:ascii="Times New Roman" w:eastAsia="Times New Roman" w:hAnsi="Times New Roman"/>
          <w:sz w:val="22"/>
          <w:szCs w:val="22"/>
          <w:lang w:val="en-GB"/>
        </w:rPr>
        <w:t>ompetition at any time prior</w:t>
      </w:r>
      <w:r w:rsidR="00E76106" w:rsidRPr="006C104F">
        <w:rPr>
          <w:rFonts w:ascii="Times New Roman" w:eastAsia="Times New Roman" w:hAnsi="Times New Roman"/>
          <w:sz w:val="22"/>
          <w:szCs w:val="22"/>
          <w:lang w:val="en-GB"/>
        </w:rPr>
        <w:t xml:space="preserve"> to </w:t>
      </w:r>
      <w:proofErr w:type="gramStart"/>
      <w:r w:rsidR="00E76106" w:rsidRPr="006C104F">
        <w:rPr>
          <w:rFonts w:ascii="Times New Roman" w:eastAsia="Times New Roman" w:hAnsi="Times New Roman"/>
          <w:sz w:val="22"/>
          <w:szCs w:val="22"/>
          <w:lang w:val="en-GB"/>
        </w:rPr>
        <w:t>entering into</w:t>
      </w:r>
      <w:proofErr w:type="gramEnd"/>
      <w:r w:rsidR="00E76106" w:rsidRPr="006C104F">
        <w:rPr>
          <w:rFonts w:ascii="Times New Roman" w:eastAsia="Times New Roman" w:hAnsi="Times New Roman"/>
          <w:sz w:val="22"/>
          <w:szCs w:val="22"/>
          <w:lang w:val="en-GB"/>
        </w:rPr>
        <w:t xml:space="preserve"> a contract.</w:t>
      </w:r>
    </w:p>
    <w:p w14:paraId="4A12E309" w14:textId="77777777" w:rsidR="00FC52EF" w:rsidRPr="006C104F" w:rsidRDefault="00FC52EF" w:rsidP="00FD4F0F">
      <w:pPr>
        <w:pStyle w:val="PlainText"/>
        <w:ind w:left="720" w:hanging="720"/>
        <w:jc w:val="both"/>
        <w:rPr>
          <w:rFonts w:ascii="Times New Roman" w:eastAsia="Times New Roman" w:hAnsi="Times New Roman"/>
          <w:sz w:val="22"/>
          <w:szCs w:val="22"/>
          <w:lang w:val="en-GB"/>
        </w:rPr>
      </w:pPr>
    </w:p>
    <w:p w14:paraId="5DEFE59C" w14:textId="27F12D4A" w:rsidR="00FC52EF" w:rsidRPr="006C104F" w:rsidRDefault="00FC52EF" w:rsidP="00FD4F0F">
      <w:pPr>
        <w:pStyle w:val="PlainText"/>
        <w:ind w:left="720" w:hanging="720"/>
        <w:jc w:val="both"/>
        <w:rPr>
          <w:rFonts w:ascii="Times New Roman" w:eastAsia="Times New Roman" w:hAnsi="Times New Roman"/>
          <w:sz w:val="22"/>
          <w:szCs w:val="22"/>
          <w:lang w:val="en-GB"/>
        </w:rPr>
      </w:pPr>
      <w:r w:rsidRPr="006C104F">
        <w:rPr>
          <w:rFonts w:ascii="Times New Roman" w:eastAsia="Times New Roman" w:hAnsi="Times New Roman"/>
          <w:sz w:val="22"/>
          <w:szCs w:val="22"/>
          <w:lang w:val="en-GB"/>
        </w:rPr>
        <w:t>5.</w:t>
      </w:r>
      <w:r w:rsidR="00EA309D" w:rsidRPr="006C104F">
        <w:rPr>
          <w:rFonts w:ascii="Times New Roman" w:eastAsia="Times New Roman" w:hAnsi="Times New Roman"/>
          <w:sz w:val="22"/>
          <w:szCs w:val="22"/>
          <w:lang w:val="en-GB"/>
        </w:rPr>
        <w:t>6</w:t>
      </w:r>
      <w:r w:rsidRPr="006C104F">
        <w:rPr>
          <w:rFonts w:ascii="Times New Roman" w:eastAsia="Times New Roman" w:hAnsi="Times New Roman"/>
          <w:sz w:val="22"/>
          <w:szCs w:val="22"/>
          <w:lang w:val="en-GB"/>
        </w:rPr>
        <w:tab/>
        <w:t xml:space="preserve">The Department of Health does not bind itself to accept the lowest cost tender proposal or </w:t>
      </w:r>
      <w:proofErr w:type="gramStart"/>
      <w:r w:rsidRPr="006C104F">
        <w:rPr>
          <w:rFonts w:ascii="Times New Roman" w:eastAsia="Times New Roman" w:hAnsi="Times New Roman"/>
          <w:sz w:val="22"/>
          <w:szCs w:val="22"/>
          <w:lang w:val="en-GB"/>
        </w:rPr>
        <w:t>any  tender</w:t>
      </w:r>
      <w:proofErr w:type="gramEnd"/>
      <w:r w:rsidRPr="006C104F">
        <w:rPr>
          <w:rFonts w:ascii="Times New Roman" w:eastAsia="Times New Roman" w:hAnsi="Times New Roman"/>
          <w:sz w:val="22"/>
          <w:szCs w:val="22"/>
          <w:lang w:val="en-GB"/>
        </w:rPr>
        <w:t xml:space="preserve"> proposal. It reserves the right to accept or reject any or all tender proposals received and to source the requirement with more than one supplier if necessary.</w:t>
      </w:r>
    </w:p>
    <w:p w14:paraId="16909BE5" w14:textId="77777777" w:rsidR="00FD4F0F" w:rsidRPr="006C104F" w:rsidRDefault="00FD4F0F" w:rsidP="00FD4F0F">
      <w:pPr>
        <w:pStyle w:val="PlainText"/>
        <w:ind w:left="720" w:hanging="720"/>
        <w:jc w:val="both"/>
        <w:rPr>
          <w:rFonts w:ascii="Times New Roman" w:eastAsia="Times New Roman" w:hAnsi="Times New Roman"/>
          <w:sz w:val="22"/>
          <w:szCs w:val="22"/>
          <w:lang w:val="en-GB"/>
        </w:rPr>
      </w:pPr>
    </w:p>
    <w:p w14:paraId="0A3641FC" w14:textId="3C5DDCA0" w:rsidR="00FD4F0F" w:rsidRPr="006C104F" w:rsidRDefault="00FD4F0F" w:rsidP="00FD4F0F">
      <w:pPr>
        <w:pStyle w:val="PlainText"/>
        <w:ind w:left="720" w:hanging="720"/>
        <w:jc w:val="both"/>
        <w:rPr>
          <w:rFonts w:ascii="Times New Roman" w:eastAsia="Times New Roman" w:hAnsi="Times New Roman"/>
          <w:sz w:val="22"/>
          <w:szCs w:val="22"/>
          <w:lang w:val="en-GB"/>
        </w:rPr>
      </w:pPr>
      <w:proofErr w:type="gramStart"/>
      <w:r w:rsidRPr="006C104F">
        <w:rPr>
          <w:rFonts w:ascii="Times New Roman" w:eastAsia="Times New Roman" w:hAnsi="Times New Roman"/>
          <w:sz w:val="22"/>
          <w:szCs w:val="22"/>
          <w:lang w:val="en-GB"/>
        </w:rPr>
        <w:t>5.</w:t>
      </w:r>
      <w:r w:rsidR="00EA309D" w:rsidRPr="006C104F">
        <w:rPr>
          <w:rFonts w:ascii="Times New Roman" w:eastAsia="Times New Roman" w:hAnsi="Times New Roman"/>
          <w:sz w:val="22"/>
          <w:szCs w:val="22"/>
          <w:lang w:val="en-GB"/>
        </w:rPr>
        <w:t>7</w:t>
      </w:r>
      <w:r w:rsidRPr="006C104F">
        <w:rPr>
          <w:rFonts w:ascii="Times New Roman" w:hAnsi="Times New Roman"/>
          <w:sz w:val="22"/>
          <w:szCs w:val="22"/>
        </w:rPr>
        <w:t xml:space="preserve"> </w:t>
      </w:r>
      <w:r w:rsidRPr="006C104F">
        <w:rPr>
          <w:rFonts w:ascii="Times New Roman" w:eastAsia="Times New Roman" w:hAnsi="Times New Roman"/>
          <w:sz w:val="22"/>
          <w:szCs w:val="22"/>
          <w:lang w:val="en-GB"/>
        </w:rPr>
        <w:t xml:space="preserve"> </w:t>
      </w:r>
      <w:r w:rsidR="000B2FC2">
        <w:rPr>
          <w:rFonts w:ascii="Times New Roman" w:eastAsia="Times New Roman" w:hAnsi="Times New Roman"/>
          <w:sz w:val="22"/>
          <w:szCs w:val="22"/>
          <w:lang w:val="en-GB"/>
        </w:rPr>
        <w:tab/>
      </w:r>
      <w:proofErr w:type="gramEnd"/>
      <w:r w:rsidRPr="006C104F">
        <w:rPr>
          <w:rFonts w:ascii="Times New Roman" w:eastAsia="Times New Roman" w:hAnsi="Times New Roman"/>
          <w:sz w:val="22"/>
          <w:szCs w:val="22"/>
          <w:lang w:val="en-GB"/>
        </w:rPr>
        <w:t>Tenderers must provide, as part of their tender proposal written confirmation that they hold or will hold, if successful, the below types and levels of insurance.  A formal confirmation from the Tenderer’s insurance company or broker to this effect may be requested from the successful Tenderer prior to the award of (and shall be a condition of) any contract.</w:t>
      </w:r>
    </w:p>
    <w:p w14:paraId="1BF8E1FA" w14:textId="77777777" w:rsidR="00FD4F0F" w:rsidRPr="006C104F" w:rsidRDefault="00FD4F0F" w:rsidP="00FD4F0F">
      <w:pPr>
        <w:pStyle w:val="PlainText"/>
        <w:ind w:left="720" w:hanging="720"/>
        <w:jc w:val="both"/>
        <w:rPr>
          <w:rFonts w:ascii="Times New Roman" w:eastAsia="Times New Roman" w:hAnsi="Times New Roman"/>
          <w:sz w:val="22"/>
          <w:szCs w:val="22"/>
          <w:lang w:val="en-GB"/>
        </w:rPr>
      </w:pPr>
    </w:p>
    <w:p w14:paraId="2E76FA3F" w14:textId="3AC262E0" w:rsidR="00FD4F0F" w:rsidRPr="006C104F" w:rsidRDefault="00FD4F0F" w:rsidP="00326D4E">
      <w:pPr>
        <w:pStyle w:val="PlainText"/>
        <w:jc w:val="both"/>
        <w:rPr>
          <w:rFonts w:ascii="Times New Roman" w:eastAsia="Times New Roman" w:hAnsi="Times New Roman"/>
          <w:color w:val="FF0000"/>
          <w:sz w:val="22"/>
          <w:szCs w:val="22"/>
          <w:lang w:val="en-GB"/>
        </w:rPr>
      </w:pPr>
    </w:p>
    <w:p w14:paraId="78694CCF" w14:textId="77777777" w:rsidR="00326D4E" w:rsidRPr="006C104F" w:rsidRDefault="00326D4E" w:rsidP="00326D4E">
      <w:pPr>
        <w:ind w:left="709" w:hanging="709"/>
        <w:jc w:val="both"/>
        <w:rPr>
          <w:b/>
          <w:color w:val="FF0000"/>
          <w:sz w:val="22"/>
          <w:szCs w:val="22"/>
          <w:lang w:val="en-US"/>
        </w:rPr>
      </w:pPr>
      <w:r w:rsidRPr="006C104F">
        <w:rPr>
          <w:b/>
          <w:color w:val="FF0000"/>
          <w:sz w:val="22"/>
          <w:szCs w:val="22"/>
          <w:lang w:val="en-US"/>
        </w:rPr>
        <w:t>(Consider if this is required – if not this table or some of the types of insurance can be removed)</w:t>
      </w:r>
    </w:p>
    <w:p w14:paraId="7AB498B5" w14:textId="77777777" w:rsidR="00326D4E" w:rsidRPr="006C104F" w:rsidRDefault="00326D4E" w:rsidP="00326D4E">
      <w:pPr>
        <w:ind w:left="709" w:hanging="709"/>
        <w:jc w:val="both"/>
        <w:rPr>
          <w:color w:val="FF0000"/>
          <w:sz w:val="22"/>
          <w:szCs w:val="22"/>
        </w:rPr>
      </w:pPr>
    </w:p>
    <w:tbl>
      <w:tblPr>
        <w:tblStyle w:val="GridTable4-Accent1"/>
        <w:tblW w:w="5000" w:type="pct"/>
        <w:tblInd w:w="0" w:type="dxa"/>
        <w:tblLook w:val="04A0" w:firstRow="1" w:lastRow="0" w:firstColumn="1" w:lastColumn="0" w:noHBand="0" w:noVBand="1"/>
      </w:tblPr>
      <w:tblGrid>
        <w:gridCol w:w="4508"/>
        <w:gridCol w:w="4508"/>
      </w:tblGrid>
      <w:tr w:rsidR="00326D4E" w:rsidRPr="006C104F" w14:paraId="2566CCEE" w14:textId="77777777" w:rsidTr="007D21FB">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500" w:type="pct"/>
            <w:vAlign w:val="center"/>
            <w:hideMark/>
          </w:tcPr>
          <w:p w14:paraId="7D534D2A" w14:textId="77777777" w:rsidR="00326D4E" w:rsidRPr="006C104F" w:rsidRDefault="00326D4E" w:rsidP="007D21FB">
            <w:pPr>
              <w:ind w:left="709" w:hanging="709"/>
              <w:jc w:val="both"/>
              <w:rPr>
                <w:color w:val="FF0000"/>
                <w:sz w:val="22"/>
                <w:szCs w:val="22"/>
                <w:lang w:eastAsia="en-IE"/>
              </w:rPr>
            </w:pPr>
            <w:r w:rsidRPr="006C104F">
              <w:rPr>
                <w:color w:val="FF0000"/>
                <w:sz w:val="22"/>
                <w:szCs w:val="22"/>
                <w:lang w:eastAsia="en-IE"/>
              </w:rPr>
              <w:t>Type of Insurance</w:t>
            </w:r>
          </w:p>
        </w:tc>
        <w:tc>
          <w:tcPr>
            <w:tcW w:w="2500" w:type="pct"/>
            <w:vAlign w:val="center"/>
            <w:hideMark/>
          </w:tcPr>
          <w:p w14:paraId="7FC4365F" w14:textId="77777777" w:rsidR="00326D4E" w:rsidRPr="006C104F" w:rsidRDefault="00326D4E" w:rsidP="007D21FB">
            <w:pPr>
              <w:ind w:left="709" w:hanging="709"/>
              <w:jc w:val="both"/>
              <w:cnfStyle w:val="100000000000" w:firstRow="1" w:lastRow="0" w:firstColumn="0" w:lastColumn="0" w:oddVBand="0" w:evenVBand="0" w:oddHBand="0" w:evenHBand="0" w:firstRowFirstColumn="0" w:firstRowLastColumn="0" w:lastRowFirstColumn="0" w:lastRowLastColumn="0"/>
              <w:rPr>
                <w:color w:val="FF0000"/>
                <w:sz w:val="22"/>
                <w:szCs w:val="22"/>
                <w:lang w:eastAsia="en-IE"/>
              </w:rPr>
            </w:pPr>
            <w:r w:rsidRPr="006C104F">
              <w:rPr>
                <w:color w:val="FF0000"/>
                <w:sz w:val="22"/>
                <w:szCs w:val="22"/>
                <w:lang w:eastAsia="en-IE"/>
              </w:rPr>
              <w:t>Indemnity Limit</w:t>
            </w:r>
          </w:p>
        </w:tc>
      </w:tr>
      <w:tr w:rsidR="00326D4E" w:rsidRPr="006C104F" w14:paraId="54503DE8" w14:textId="77777777" w:rsidTr="007D21FB">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14:paraId="73D08805" w14:textId="77777777" w:rsidR="00326D4E" w:rsidRPr="006C104F" w:rsidRDefault="00326D4E" w:rsidP="007D21FB">
            <w:pPr>
              <w:ind w:left="709" w:hanging="709"/>
              <w:jc w:val="both"/>
              <w:rPr>
                <w:color w:val="FF0000"/>
                <w:sz w:val="22"/>
                <w:szCs w:val="22"/>
                <w:lang w:eastAsia="en-IE"/>
              </w:rPr>
            </w:pPr>
            <w:r w:rsidRPr="006C104F">
              <w:rPr>
                <w:color w:val="FF0000"/>
                <w:sz w:val="22"/>
                <w:szCs w:val="22"/>
                <w:lang w:eastAsia="en-IE"/>
              </w:rPr>
              <w:t>Employer’s Liability</w:t>
            </w:r>
          </w:p>
        </w:tc>
        <w:tc>
          <w:tcPr>
            <w:tcW w:w="2500"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14:paraId="21FF258C" w14:textId="77777777" w:rsidR="00326D4E" w:rsidRPr="006C104F" w:rsidRDefault="00326D4E" w:rsidP="007D21FB">
            <w:pPr>
              <w:ind w:left="709" w:hanging="709"/>
              <w:jc w:val="both"/>
              <w:cnfStyle w:val="000000100000" w:firstRow="0" w:lastRow="0" w:firstColumn="0" w:lastColumn="0" w:oddVBand="0" w:evenVBand="0" w:oddHBand="1" w:evenHBand="0" w:firstRowFirstColumn="0" w:firstRowLastColumn="0" w:lastRowFirstColumn="0" w:lastRowLastColumn="0"/>
              <w:rPr>
                <w:color w:val="FF0000"/>
                <w:sz w:val="22"/>
                <w:szCs w:val="22"/>
                <w:lang w:eastAsia="en-IE"/>
              </w:rPr>
            </w:pPr>
            <w:r w:rsidRPr="006C104F">
              <w:rPr>
                <w:color w:val="FF0000"/>
                <w:sz w:val="22"/>
                <w:szCs w:val="22"/>
                <w:lang w:eastAsia="en-IE"/>
              </w:rPr>
              <w:t>€12.7 million</w:t>
            </w:r>
          </w:p>
        </w:tc>
      </w:tr>
      <w:tr w:rsidR="00326D4E" w:rsidRPr="006C104F" w14:paraId="31BADB02" w14:textId="77777777" w:rsidTr="007D21FB">
        <w:trPr>
          <w:trHeight w:val="510"/>
        </w:trPr>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14:paraId="2563C327" w14:textId="77777777" w:rsidR="00326D4E" w:rsidRPr="006C104F" w:rsidRDefault="00326D4E" w:rsidP="007D21FB">
            <w:pPr>
              <w:ind w:left="709" w:hanging="709"/>
              <w:jc w:val="both"/>
              <w:rPr>
                <w:color w:val="FF0000"/>
                <w:sz w:val="22"/>
                <w:szCs w:val="22"/>
                <w:lang w:eastAsia="en-IE"/>
              </w:rPr>
            </w:pPr>
            <w:r w:rsidRPr="006C104F">
              <w:rPr>
                <w:color w:val="FF0000"/>
                <w:sz w:val="22"/>
                <w:szCs w:val="22"/>
                <w:lang w:eastAsia="en-IE"/>
              </w:rPr>
              <w:t>Public Liability</w:t>
            </w:r>
          </w:p>
        </w:tc>
        <w:tc>
          <w:tcPr>
            <w:tcW w:w="2500"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14:paraId="7F4268C9" w14:textId="77777777" w:rsidR="00326D4E" w:rsidRPr="006C104F" w:rsidRDefault="00326D4E" w:rsidP="007D21FB">
            <w:pPr>
              <w:ind w:left="709" w:hanging="709"/>
              <w:jc w:val="both"/>
              <w:cnfStyle w:val="000000000000" w:firstRow="0" w:lastRow="0" w:firstColumn="0" w:lastColumn="0" w:oddVBand="0" w:evenVBand="0" w:oddHBand="0" w:evenHBand="0" w:firstRowFirstColumn="0" w:firstRowLastColumn="0" w:lastRowFirstColumn="0" w:lastRowLastColumn="0"/>
              <w:rPr>
                <w:color w:val="FF0000"/>
                <w:sz w:val="22"/>
                <w:szCs w:val="22"/>
                <w:lang w:eastAsia="en-IE"/>
              </w:rPr>
            </w:pPr>
            <w:r w:rsidRPr="006C104F">
              <w:rPr>
                <w:color w:val="FF0000"/>
                <w:sz w:val="22"/>
                <w:szCs w:val="22"/>
                <w:lang w:eastAsia="en-IE"/>
              </w:rPr>
              <w:t>€2.6 million</w:t>
            </w:r>
          </w:p>
        </w:tc>
      </w:tr>
      <w:tr w:rsidR="00326D4E" w:rsidRPr="006C104F" w14:paraId="79DC36A9" w14:textId="77777777" w:rsidTr="007D21FB">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14:paraId="6870BC75" w14:textId="77777777" w:rsidR="00326D4E" w:rsidRPr="006C104F" w:rsidRDefault="00326D4E" w:rsidP="007D21FB">
            <w:pPr>
              <w:ind w:left="709" w:hanging="709"/>
              <w:jc w:val="both"/>
              <w:rPr>
                <w:color w:val="FF0000"/>
                <w:sz w:val="22"/>
                <w:szCs w:val="22"/>
                <w:lang w:eastAsia="en-IE"/>
              </w:rPr>
            </w:pPr>
            <w:r w:rsidRPr="006C104F">
              <w:rPr>
                <w:color w:val="FF0000"/>
                <w:sz w:val="22"/>
                <w:szCs w:val="22"/>
                <w:lang w:eastAsia="en-IE"/>
              </w:rPr>
              <w:t>Product Liability</w:t>
            </w:r>
          </w:p>
        </w:tc>
        <w:tc>
          <w:tcPr>
            <w:tcW w:w="2500"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14:paraId="47FAC173" w14:textId="77777777" w:rsidR="00326D4E" w:rsidRPr="006C104F" w:rsidRDefault="00326D4E" w:rsidP="007D21FB">
            <w:pPr>
              <w:ind w:left="709" w:hanging="709"/>
              <w:jc w:val="both"/>
              <w:cnfStyle w:val="000000100000" w:firstRow="0" w:lastRow="0" w:firstColumn="0" w:lastColumn="0" w:oddVBand="0" w:evenVBand="0" w:oddHBand="1" w:evenHBand="0" w:firstRowFirstColumn="0" w:firstRowLastColumn="0" w:lastRowFirstColumn="0" w:lastRowLastColumn="0"/>
              <w:rPr>
                <w:color w:val="FF0000"/>
                <w:sz w:val="22"/>
                <w:szCs w:val="22"/>
                <w:lang w:eastAsia="en-IE"/>
              </w:rPr>
            </w:pPr>
            <w:r w:rsidRPr="006C104F">
              <w:rPr>
                <w:color w:val="FF0000"/>
                <w:sz w:val="22"/>
                <w:szCs w:val="22"/>
              </w:rPr>
              <w:fldChar w:fldCharType="begin">
                <w:ffData>
                  <w:name w:val="Text105"/>
                  <w:enabled/>
                  <w:calcOnExit w:val="0"/>
                  <w:textInput>
                    <w:default w:val="[Click here to enter text]"/>
                  </w:textInput>
                </w:ffData>
              </w:fldChar>
            </w:r>
            <w:r w:rsidRPr="006C104F">
              <w:rPr>
                <w:color w:val="FF0000"/>
                <w:sz w:val="22"/>
                <w:szCs w:val="22"/>
                <w:lang w:eastAsia="en-IE"/>
              </w:rPr>
              <w:instrText xml:space="preserve"> FORMTEXT </w:instrText>
            </w:r>
            <w:r w:rsidRPr="006C104F">
              <w:rPr>
                <w:color w:val="FF0000"/>
                <w:sz w:val="22"/>
                <w:szCs w:val="22"/>
              </w:rPr>
            </w:r>
            <w:r w:rsidRPr="006C104F">
              <w:rPr>
                <w:color w:val="FF0000"/>
                <w:sz w:val="22"/>
                <w:szCs w:val="22"/>
              </w:rPr>
              <w:fldChar w:fldCharType="separate"/>
            </w:r>
            <w:r w:rsidRPr="006C104F">
              <w:rPr>
                <w:noProof/>
                <w:color w:val="FF0000"/>
                <w:sz w:val="22"/>
                <w:szCs w:val="22"/>
                <w:lang w:eastAsia="en-IE"/>
              </w:rPr>
              <w:t>[Click here to enter text]</w:t>
            </w:r>
            <w:r w:rsidRPr="006C104F">
              <w:rPr>
                <w:color w:val="FF0000"/>
                <w:sz w:val="22"/>
                <w:szCs w:val="22"/>
              </w:rPr>
              <w:fldChar w:fldCharType="end"/>
            </w:r>
          </w:p>
        </w:tc>
      </w:tr>
      <w:tr w:rsidR="00326D4E" w:rsidRPr="006C104F" w14:paraId="115893A3" w14:textId="77777777" w:rsidTr="007D21FB">
        <w:trPr>
          <w:trHeight w:val="510"/>
        </w:trPr>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14:paraId="1029E217" w14:textId="77777777" w:rsidR="00326D4E" w:rsidRPr="006C104F" w:rsidRDefault="00326D4E" w:rsidP="007D21FB">
            <w:pPr>
              <w:ind w:left="709" w:hanging="709"/>
              <w:jc w:val="both"/>
              <w:rPr>
                <w:color w:val="FF0000"/>
                <w:sz w:val="22"/>
                <w:szCs w:val="22"/>
                <w:lang w:eastAsia="en-IE"/>
              </w:rPr>
            </w:pPr>
            <w:r w:rsidRPr="006C104F">
              <w:rPr>
                <w:color w:val="FF0000"/>
                <w:sz w:val="22"/>
                <w:szCs w:val="22"/>
              </w:rPr>
              <w:t>Professional Liability</w:t>
            </w:r>
          </w:p>
        </w:tc>
        <w:tc>
          <w:tcPr>
            <w:tcW w:w="2500"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14:paraId="31D34707" w14:textId="77777777" w:rsidR="00326D4E" w:rsidRPr="006C104F" w:rsidRDefault="00326D4E" w:rsidP="007D21FB">
            <w:pPr>
              <w:ind w:left="709" w:hanging="709"/>
              <w:jc w:val="both"/>
              <w:cnfStyle w:val="000000000000" w:firstRow="0" w:lastRow="0" w:firstColumn="0" w:lastColumn="0" w:oddVBand="0" w:evenVBand="0" w:oddHBand="0" w:evenHBand="0" w:firstRowFirstColumn="0" w:firstRowLastColumn="0" w:lastRowFirstColumn="0" w:lastRowLastColumn="0"/>
              <w:rPr>
                <w:color w:val="FF0000"/>
                <w:sz w:val="22"/>
                <w:szCs w:val="22"/>
                <w:lang w:eastAsia="en-IE"/>
              </w:rPr>
            </w:pPr>
            <w:r w:rsidRPr="006C104F">
              <w:rPr>
                <w:color w:val="FF0000"/>
                <w:sz w:val="22"/>
                <w:szCs w:val="22"/>
              </w:rPr>
              <w:fldChar w:fldCharType="begin">
                <w:ffData>
                  <w:name w:val="Text105"/>
                  <w:enabled/>
                  <w:calcOnExit w:val="0"/>
                  <w:textInput>
                    <w:default w:val="[Click here to enter text]"/>
                  </w:textInput>
                </w:ffData>
              </w:fldChar>
            </w:r>
            <w:r w:rsidRPr="006C104F">
              <w:rPr>
                <w:color w:val="FF0000"/>
                <w:sz w:val="22"/>
                <w:szCs w:val="22"/>
                <w:lang w:eastAsia="en-IE"/>
              </w:rPr>
              <w:instrText xml:space="preserve"> FORMTEXT </w:instrText>
            </w:r>
            <w:r w:rsidRPr="006C104F">
              <w:rPr>
                <w:color w:val="FF0000"/>
                <w:sz w:val="22"/>
                <w:szCs w:val="22"/>
              </w:rPr>
            </w:r>
            <w:r w:rsidRPr="006C104F">
              <w:rPr>
                <w:color w:val="FF0000"/>
                <w:sz w:val="22"/>
                <w:szCs w:val="22"/>
              </w:rPr>
              <w:fldChar w:fldCharType="separate"/>
            </w:r>
            <w:r w:rsidRPr="006C104F">
              <w:rPr>
                <w:noProof/>
                <w:color w:val="FF0000"/>
                <w:sz w:val="22"/>
                <w:szCs w:val="22"/>
                <w:lang w:eastAsia="en-IE"/>
              </w:rPr>
              <w:t>[Click here to enter text]</w:t>
            </w:r>
            <w:r w:rsidRPr="006C104F">
              <w:rPr>
                <w:color w:val="FF0000"/>
                <w:sz w:val="22"/>
                <w:szCs w:val="22"/>
              </w:rPr>
              <w:fldChar w:fldCharType="end"/>
            </w:r>
          </w:p>
        </w:tc>
      </w:tr>
      <w:tr w:rsidR="00326D4E" w:rsidRPr="006C104F" w14:paraId="25EAE205" w14:textId="77777777" w:rsidTr="007D21FB">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14:paraId="0E24A19E" w14:textId="77777777" w:rsidR="00326D4E" w:rsidRPr="006C104F" w:rsidRDefault="00326D4E" w:rsidP="007D21FB">
            <w:pPr>
              <w:ind w:left="709" w:hanging="709"/>
              <w:jc w:val="both"/>
              <w:rPr>
                <w:color w:val="FF0000"/>
                <w:sz w:val="22"/>
                <w:szCs w:val="22"/>
              </w:rPr>
            </w:pPr>
            <w:r w:rsidRPr="006C104F">
              <w:rPr>
                <w:color w:val="FF0000"/>
                <w:sz w:val="22"/>
                <w:szCs w:val="22"/>
              </w:rPr>
              <w:t>Cyber Liability</w:t>
            </w:r>
          </w:p>
        </w:tc>
        <w:tc>
          <w:tcPr>
            <w:tcW w:w="2500"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14:paraId="2E58F63A" w14:textId="77777777" w:rsidR="00326D4E" w:rsidRPr="006C104F" w:rsidRDefault="00326D4E" w:rsidP="007D21FB">
            <w:pPr>
              <w:ind w:left="709" w:hanging="709"/>
              <w:jc w:val="both"/>
              <w:cnfStyle w:val="000000100000" w:firstRow="0" w:lastRow="0" w:firstColumn="0" w:lastColumn="0" w:oddVBand="0" w:evenVBand="0" w:oddHBand="1" w:evenHBand="0" w:firstRowFirstColumn="0" w:firstRowLastColumn="0" w:lastRowFirstColumn="0" w:lastRowLastColumn="0"/>
              <w:rPr>
                <w:color w:val="FF0000"/>
                <w:sz w:val="22"/>
                <w:szCs w:val="22"/>
              </w:rPr>
            </w:pPr>
            <w:r w:rsidRPr="006C104F">
              <w:rPr>
                <w:color w:val="FF0000"/>
                <w:sz w:val="22"/>
                <w:szCs w:val="22"/>
              </w:rPr>
              <w:fldChar w:fldCharType="begin">
                <w:ffData>
                  <w:name w:val="Text105"/>
                  <w:enabled/>
                  <w:calcOnExit w:val="0"/>
                  <w:textInput>
                    <w:default w:val="[Click here to enter text]"/>
                  </w:textInput>
                </w:ffData>
              </w:fldChar>
            </w:r>
            <w:r w:rsidRPr="006C104F">
              <w:rPr>
                <w:color w:val="FF0000"/>
                <w:sz w:val="22"/>
                <w:szCs w:val="22"/>
                <w:lang w:eastAsia="en-IE"/>
              </w:rPr>
              <w:instrText xml:space="preserve"> FORMTEXT </w:instrText>
            </w:r>
            <w:r w:rsidRPr="006C104F">
              <w:rPr>
                <w:color w:val="FF0000"/>
                <w:sz w:val="22"/>
                <w:szCs w:val="22"/>
              </w:rPr>
            </w:r>
            <w:r w:rsidRPr="006C104F">
              <w:rPr>
                <w:color w:val="FF0000"/>
                <w:sz w:val="22"/>
                <w:szCs w:val="22"/>
              </w:rPr>
              <w:fldChar w:fldCharType="separate"/>
            </w:r>
            <w:r w:rsidRPr="006C104F">
              <w:rPr>
                <w:noProof/>
                <w:color w:val="FF0000"/>
                <w:sz w:val="22"/>
                <w:szCs w:val="22"/>
                <w:lang w:eastAsia="en-IE"/>
              </w:rPr>
              <w:t>[Click here to enter text]</w:t>
            </w:r>
            <w:r w:rsidRPr="006C104F">
              <w:rPr>
                <w:color w:val="FF0000"/>
                <w:sz w:val="22"/>
                <w:szCs w:val="22"/>
              </w:rPr>
              <w:fldChar w:fldCharType="end"/>
            </w:r>
          </w:p>
        </w:tc>
      </w:tr>
    </w:tbl>
    <w:p w14:paraId="3EED9037" w14:textId="77777777" w:rsidR="00326D4E" w:rsidRPr="006C104F" w:rsidRDefault="00326D4E" w:rsidP="00326D4E">
      <w:pPr>
        <w:ind w:left="709" w:hanging="709"/>
        <w:jc w:val="both"/>
        <w:rPr>
          <w:bCs/>
          <w:sz w:val="22"/>
          <w:szCs w:val="22"/>
          <w:highlight w:val="yellow"/>
        </w:rPr>
      </w:pPr>
    </w:p>
    <w:p w14:paraId="1D1E9E09" w14:textId="77777777" w:rsidR="002F6AA4" w:rsidRPr="006C104F" w:rsidRDefault="002F6AA4" w:rsidP="00326D4E">
      <w:pPr>
        <w:pStyle w:val="PlainText"/>
        <w:jc w:val="both"/>
        <w:rPr>
          <w:rFonts w:ascii="Times New Roman" w:hAnsi="Times New Roman"/>
          <w:sz w:val="22"/>
          <w:szCs w:val="22"/>
        </w:rPr>
      </w:pPr>
    </w:p>
    <w:p w14:paraId="5C896310" w14:textId="77777777" w:rsidR="002F6AA4" w:rsidRPr="006C104F" w:rsidRDefault="002F6AA4" w:rsidP="008E111D">
      <w:pPr>
        <w:pStyle w:val="BodyText2"/>
        <w:rPr>
          <w:sz w:val="22"/>
          <w:szCs w:val="22"/>
        </w:rPr>
      </w:pPr>
    </w:p>
    <w:p w14:paraId="1C270CD8" w14:textId="77777777" w:rsidR="004A6949" w:rsidRPr="006C104F" w:rsidRDefault="004A6949" w:rsidP="004A6949">
      <w:pPr>
        <w:jc w:val="both"/>
        <w:rPr>
          <w:b/>
          <w:sz w:val="22"/>
          <w:szCs w:val="22"/>
        </w:rPr>
      </w:pPr>
    </w:p>
    <w:p w14:paraId="21246ACD" w14:textId="3966A5C2" w:rsidR="004A6949" w:rsidRPr="006C104F" w:rsidRDefault="00791EA5" w:rsidP="004A6949">
      <w:pPr>
        <w:jc w:val="both"/>
        <w:rPr>
          <w:b/>
          <w:color w:val="000000" w:themeColor="text1"/>
          <w:sz w:val="22"/>
          <w:szCs w:val="22"/>
        </w:rPr>
      </w:pPr>
      <w:r w:rsidRPr="006C104F">
        <w:rPr>
          <w:b/>
          <w:sz w:val="22"/>
          <w:szCs w:val="22"/>
        </w:rPr>
        <w:t>6</w:t>
      </w:r>
      <w:r w:rsidR="004A6949" w:rsidRPr="006C104F">
        <w:rPr>
          <w:b/>
          <w:sz w:val="22"/>
          <w:szCs w:val="22"/>
        </w:rPr>
        <w:t xml:space="preserve">.   </w:t>
      </w:r>
      <w:r w:rsidR="004A6949" w:rsidRPr="006C104F">
        <w:rPr>
          <w:b/>
          <w:color w:val="000000" w:themeColor="text1"/>
          <w:sz w:val="22"/>
          <w:szCs w:val="22"/>
        </w:rPr>
        <w:t xml:space="preserve">    </w:t>
      </w:r>
      <w:r w:rsidR="0065618D" w:rsidRPr="006C104F">
        <w:rPr>
          <w:b/>
          <w:color w:val="000000" w:themeColor="text1"/>
          <w:sz w:val="22"/>
          <w:szCs w:val="22"/>
        </w:rPr>
        <w:t>P</w:t>
      </w:r>
      <w:r w:rsidR="00AE0397" w:rsidRPr="006C104F">
        <w:rPr>
          <w:b/>
          <w:color w:val="000000" w:themeColor="text1"/>
          <w:sz w:val="22"/>
          <w:szCs w:val="22"/>
        </w:rPr>
        <w:t xml:space="preserve">ROCUREMENT </w:t>
      </w:r>
      <w:r w:rsidR="007D3D27" w:rsidRPr="006C104F">
        <w:rPr>
          <w:b/>
          <w:color w:val="000000" w:themeColor="text1"/>
          <w:sz w:val="22"/>
          <w:szCs w:val="22"/>
        </w:rPr>
        <w:t>TIMELINES</w:t>
      </w:r>
      <w:r w:rsidR="00AE0397" w:rsidRPr="006C104F">
        <w:rPr>
          <w:b/>
          <w:color w:val="000000" w:themeColor="text1"/>
          <w:sz w:val="22"/>
          <w:szCs w:val="22"/>
        </w:rPr>
        <w:t xml:space="preserve"> </w:t>
      </w:r>
      <w:r w:rsidR="0065618D" w:rsidRPr="006C104F">
        <w:rPr>
          <w:b/>
          <w:color w:val="000000" w:themeColor="text1"/>
          <w:sz w:val="22"/>
          <w:szCs w:val="22"/>
        </w:rPr>
        <w:t xml:space="preserve">&amp; </w:t>
      </w:r>
      <w:r w:rsidR="00AE0397" w:rsidRPr="006C104F">
        <w:rPr>
          <w:b/>
          <w:color w:val="000000" w:themeColor="text1"/>
          <w:sz w:val="22"/>
          <w:szCs w:val="22"/>
        </w:rPr>
        <w:t xml:space="preserve">SUBMISSION OF </w:t>
      </w:r>
      <w:r w:rsidRPr="006C104F">
        <w:rPr>
          <w:b/>
          <w:color w:val="000000" w:themeColor="text1"/>
          <w:sz w:val="22"/>
          <w:szCs w:val="22"/>
        </w:rPr>
        <w:t>TENDER PROPOSALS</w:t>
      </w:r>
    </w:p>
    <w:p w14:paraId="0D21F405" w14:textId="77777777" w:rsidR="004A6949" w:rsidRPr="006C104F" w:rsidRDefault="004A6949" w:rsidP="004A6949">
      <w:pPr>
        <w:jc w:val="both"/>
        <w:rPr>
          <w:b/>
          <w:color w:val="000000" w:themeColor="text1"/>
          <w:sz w:val="22"/>
          <w:szCs w:val="22"/>
        </w:rPr>
      </w:pPr>
    </w:p>
    <w:p w14:paraId="1E17480A" w14:textId="1981416B" w:rsidR="00EB109E" w:rsidRDefault="00791EA5" w:rsidP="00EB109E">
      <w:pPr>
        <w:ind w:left="567" w:hanging="567"/>
        <w:jc w:val="both"/>
        <w:rPr>
          <w:color w:val="000000" w:themeColor="text1"/>
          <w:sz w:val="22"/>
          <w:szCs w:val="22"/>
        </w:rPr>
      </w:pPr>
      <w:r w:rsidRPr="006C104F">
        <w:rPr>
          <w:color w:val="000000" w:themeColor="text1"/>
          <w:sz w:val="22"/>
          <w:szCs w:val="22"/>
        </w:rPr>
        <w:t>6</w:t>
      </w:r>
      <w:r w:rsidR="004A6949" w:rsidRPr="006C104F">
        <w:rPr>
          <w:color w:val="000000" w:themeColor="text1"/>
          <w:sz w:val="22"/>
          <w:szCs w:val="22"/>
        </w:rPr>
        <w:t xml:space="preserve">.1 </w:t>
      </w:r>
      <w:r w:rsidR="004A6949" w:rsidRPr="006C104F">
        <w:rPr>
          <w:color w:val="000000" w:themeColor="text1"/>
          <w:sz w:val="22"/>
          <w:szCs w:val="22"/>
        </w:rPr>
        <w:tab/>
        <w:t xml:space="preserve">Tender proposals </w:t>
      </w:r>
      <w:r w:rsidRPr="006C104F">
        <w:rPr>
          <w:color w:val="000000" w:themeColor="text1"/>
          <w:sz w:val="22"/>
          <w:szCs w:val="22"/>
        </w:rPr>
        <w:t>must</w:t>
      </w:r>
      <w:r w:rsidR="004A6949" w:rsidRPr="006C104F">
        <w:rPr>
          <w:color w:val="000000" w:themeColor="text1"/>
          <w:sz w:val="22"/>
          <w:szCs w:val="22"/>
        </w:rPr>
        <w:t xml:space="preserve"> be </w:t>
      </w:r>
      <w:r w:rsidR="004A6949" w:rsidRPr="006C104F">
        <w:rPr>
          <w:b/>
          <w:color w:val="000000" w:themeColor="text1"/>
          <w:sz w:val="22"/>
          <w:szCs w:val="22"/>
        </w:rPr>
        <w:t>sent by e-mail</w:t>
      </w:r>
      <w:r w:rsidR="004A6949" w:rsidRPr="006C104F">
        <w:rPr>
          <w:color w:val="000000" w:themeColor="text1"/>
          <w:sz w:val="22"/>
          <w:szCs w:val="22"/>
        </w:rPr>
        <w:t xml:space="preserve"> to</w:t>
      </w:r>
      <w:r w:rsidR="002F30F2">
        <w:rPr>
          <w:color w:val="000000" w:themeColor="text1"/>
          <w:sz w:val="22"/>
          <w:szCs w:val="22"/>
        </w:rPr>
        <w:t xml:space="preserve"> </w:t>
      </w:r>
      <w:hyperlink r:id="rId20" w:history="1">
        <w:r w:rsidR="002F30F2" w:rsidRPr="00F92783">
          <w:rPr>
            <w:rStyle w:val="Hyperlink"/>
            <w:sz w:val="22"/>
            <w:szCs w:val="22"/>
          </w:rPr>
          <w:t>karen_oconnor@health.gov.ie</w:t>
        </w:r>
      </w:hyperlink>
      <w:r w:rsidR="002F30F2">
        <w:rPr>
          <w:color w:val="000000" w:themeColor="text1"/>
          <w:sz w:val="22"/>
          <w:szCs w:val="22"/>
        </w:rPr>
        <w:t xml:space="preserve"> </w:t>
      </w:r>
      <w:r w:rsidR="00D56D9A">
        <w:rPr>
          <w:color w:val="000000" w:themeColor="text1"/>
          <w:sz w:val="22"/>
          <w:szCs w:val="22"/>
        </w:rPr>
        <w:t xml:space="preserve">and </w:t>
      </w:r>
      <w:hyperlink r:id="rId21" w:history="1">
        <w:r w:rsidR="00D56D9A" w:rsidRPr="008F0436">
          <w:rPr>
            <w:rStyle w:val="Hyperlink"/>
            <w:sz w:val="22"/>
            <w:szCs w:val="22"/>
          </w:rPr>
          <w:t>chloe_kearns@health.gov.ie</w:t>
        </w:r>
      </w:hyperlink>
      <w:r w:rsidR="00D56D9A">
        <w:rPr>
          <w:color w:val="000000" w:themeColor="text1"/>
          <w:sz w:val="22"/>
          <w:szCs w:val="22"/>
        </w:rPr>
        <w:t xml:space="preserve"> </w:t>
      </w:r>
      <w:r w:rsidR="008774B6" w:rsidRPr="006C104F">
        <w:rPr>
          <w:color w:val="000000" w:themeColor="text1"/>
          <w:sz w:val="22"/>
          <w:szCs w:val="22"/>
        </w:rPr>
        <w:t>no lat</w:t>
      </w:r>
      <w:r w:rsidR="0065618D" w:rsidRPr="006C104F">
        <w:rPr>
          <w:color w:val="000000" w:themeColor="text1"/>
          <w:sz w:val="22"/>
          <w:szCs w:val="22"/>
        </w:rPr>
        <w:t>er than the time specified below</w:t>
      </w:r>
      <w:r w:rsidR="007D3D27">
        <w:rPr>
          <w:color w:val="000000" w:themeColor="text1"/>
          <w:sz w:val="22"/>
          <w:szCs w:val="22"/>
        </w:rPr>
        <w:t>.</w:t>
      </w:r>
      <w:r w:rsidR="008774B6" w:rsidRPr="006C104F">
        <w:rPr>
          <w:color w:val="000000" w:themeColor="text1"/>
          <w:sz w:val="22"/>
          <w:szCs w:val="22"/>
        </w:rPr>
        <w:t xml:space="preserve"> </w:t>
      </w:r>
    </w:p>
    <w:p w14:paraId="12F615F3" w14:textId="77777777" w:rsidR="00EB109E" w:rsidRDefault="00EB109E" w:rsidP="00EB109E">
      <w:pPr>
        <w:ind w:left="567" w:hanging="567"/>
        <w:jc w:val="both"/>
        <w:rPr>
          <w:color w:val="000000" w:themeColor="text1"/>
          <w:sz w:val="22"/>
          <w:szCs w:val="22"/>
        </w:rPr>
      </w:pPr>
    </w:p>
    <w:p w14:paraId="1AA6AC1C" w14:textId="751813DA" w:rsidR="00EB109E" w:rsidRDefault="00EB109E" w:rsidP="00EB109E">
      <w:pPr>
        <w:ind w:left="567" w:hanging="567"/>
        <w:jc w:val="both"/>
        <w:rPr>
          <w:color w:val="000000" w:themeColor="text1"/>
          <w:sz w:val="22"/>
          <w:szCs w:val="22"/>
        </w:rPr>
      </w:pPr>
      <w:r>
        <w:rPr>
          <w:color w:val="000000" w:themeColor="text1"/>
          <w:sz w:val="22"/>
          <w:szCs w:val="22"/>
        </w:rPr>
        <w:t xml:space="preserve">6.2 </w:t>
      </w:r>
      <w:r>
        <w:rPr>
          <w:color w:val="000000" w:themeColor="text1"/>
          <w:sz w:val="22"/>
          <w:szCs w:val="22"/>
        </w:rPr>
        <w:tab/>
      </w:r>
      <w:r w:rsidR="004E1065" w:rsidRPr="00EB109E">
        <w:rPr>
          <w:color w:val="000000" w:themeColor="text1"/>
          <w:sz w:val="22"/>
          <w:szCs w:val="22"/>
        </w:rPr>
        <w:t xml:space="preserve">The closing date for receipt of </w:t>
      </w:r>
      <w:r w:rsidR="00791EA5" w:rsidRPr="00EB109E">
        <w:rPr>
          <w:color w:val="000000" w:themeColor="text1"/>
          <w:sz w:val="22"/>
          <w:szCs w:val="22"/>
        </w:rPr>
        <w:t xml:space="preserve">tender </w:t>
      </w:r>
      <w:r w:rsidR="004E1065" w:rsidRPr="00EB109E">
        <w:rPr>
          <w:color w:val="000000" w:themeColor="text1"/>
          <w:sz w:val="22"/>
          <w:szCs w:val="22"/>
        </w:rPr>
        <w:t xml:space="preserve">proposals is </w:t>
      </w:r>
      <w:r w:rsidR="004C6F8D">
        <w:rPr>
          <w:b/>
          <w:color w:val="FF0000"/>
          <w:sz w:val="22"/>
          <w:szCs w:val="22"/>
        </w:rPr>
        <w:t>Nov</w:t>
      </w:r>
      <w:r w:rsidR="002F30F2">
        <w:rPr>
          <w:b/>
          <w:color w:val="FF0000"/>
          <w:sz w:val="22"/>
          <w:szCs w:val="22"/>
        </w:rPr>
        <w:t xml:space="preserve"> </w:t>
      </w:r>
      <w:r w:rsidR="00415036">
        <w:rPr>
          <w:b/>
          <w:color w:val="FF0000"/>
          <w:sz w:val="22"/>
          <w:szCs w:val="22"/>
        </w:rPr>
        <w:t>1</w:t>
      </w:r>
      <w:r w:rsidR="004C6F8D">
        <w:rPr>
          <w:b/>
          <w:color w:val="FF0000"/>
          <w:sz w:val="22"/>
          <w:szCs w:val="22"/>
        </w:rPr>
        <w:t>5</w:t>
      </w:r>
      <w:r w:rsidR="00DA12CE" w:rsidRPr="002F30F2">
        <w:rPr>
          <w:b/>
          <w:color w:val="FF0000"/>
          <w:sz w:val="22"/>
          <w:szCs w:val="22"/>
          <w:vertAlign w:val="superscript"/>
        </w:rPr>
        <w:t>th</w:t>
      </w:r>
      <w:r w:rsidR="00DA12CE">
        <w:rPr>
          <w:b/>
          <w:color w:val="FF0000"/>
          <w:sz w:val="22"/>
          <w:szCs w:val="22"/>
        </w:rPr>
        <w:t>.</w:t>
      </w:r>
      <w:r w:rsidR="00D06D0A" w:rsidRPr="00EB109E">
        <w:rPr>
          <w:b/>
          <w:color w:val="000000" w:themeColor="text1"/>
          <w:sz w:val="22"/>
          <w:szCs w:val="22"/>
        </w:rPr>
        <w:t xml:space="preserve"> </w:t>
      </w:r>
      <w:r w:rsidR="00791EA5" w:rsidRPr="00EB109E">
        <w:rPr>
          <w:b/>
          <w:color w:val="000000" w:themeColor="text1"/>
          <w:sz w:val="22"/>
          <w:szCs w:val="22"/>
        </w:rPr>
        <w:t xml:space="preserve">Tender </w:t>
      </w:r>
      <w:r w:rsidR="004E1065" w:rsidRPr="00EB109E">
        <w:rPr>
          <w:b/>
          <w:color w:val="000000" w:themeColor="text1"/>
          <w:sz w:val="22"/>
          <w:szCs w:val="22"/>
        </w:rPr>
        <w:t>Proposals which are received after this deadline will not be considered for this competition.</w:t>
      </w:r>
    </w:p>
    <w:p w14:paraId="417BBF54" w14:textId="77777777" w:rsidR="00EB109E" w:rsidRDefault="00EB109E" w:rsidP="00EB109E">
      <w:pPr>
        <w:ind w:left="567" w:hanging="567"/>
        <w:jc w:val="both"/>
        <w:rPr>
          <w:color w:val="000000" w:themeColor="text1"/>
          <w:sz w:val="22"/>
          <w:szCs w:val="22"/>
        </w:rPr>
      </w:pPr>
    </w:p>
    <w:p w14:paraId="4FAC195F" w14:textId="44889176" w:rsidR="00EB109E" w:rsidRDefault="00EB109E" w:rsidP="00EB109E">
      <w:pPr>
        <w:ind w:left="567" w:hanging="567"/>
        <w:jc w:val="both"/>
      </w:pPr>
      <w:r>
        <w:rPr>
          <w:color w:val="000000" w:themeColor="text1"/>
          <w:sz w:val="22"/>
          <w:szCs w:val="22"/>
        </w:rPr>
        <w:t>6.3</w:t>
      </w:r>
      <w:r>
        <w:rPr>
          <w:color w:val="000000" w:themeColor="text1"/>
          <w:sz w:val="22"/>
          <w:szCs w:val="22"/>
        </w:rPr>
        <w:tab/>
      </w:r>
      <w:r w:rsidR="004E1065" w:rsidRPr="00EB109E">
        <w:rPr>
          <w:color w:val="000000" w:themeColor="text1"/>
          <w:sz w:val="22"/>
          <w:szCs w:val="22"/>
        </w:rPr>
        <w:t xml:space="preserve">The deadline for queries is </w:t>
      </w:r>
      <w:r w:rsidR="004C6F8D">
        <w:rPr>
          <w:b/>
          <w:color w:val="FF0000"/>
          <w:sz w:val="22"/>
          <w:szCs w:val="22"/>
        </w:rPr>
        <w:t>Nov</w:t>
      </w:r>
      <w:r w:rsidR="00415036">
        <w:rPr>
          <w:b/>
          <w:color w:val="FF0000"/>
          <w:sz w:val="22"/>
          <w:szCs w:val="22"/>
        </w:rPr>
        <w:t xml:space="preserve"> </w:t>
      </w:r>
      <w:r w:rsidR="004C6F8D">
        <w:rPr>
          <w:b/>
          <w:color w:val="FF0000"/>
          <w:sz w:val="22"/>
          <w:szCs w:val="22"/>
        </w:rPr>
        <w:t>10t</w:t>
      </w:r>
      <w:r w:rsidR="00202A76">
        <w:rPr>
          <w:b/>
          <w:color w:val="FF0000"/>
          <w:sz w:val="22"/>
          <w:szCs w:val="22"/>
        </w:rPr>
        <w:t>h</w:t>
      </w:r>
      <w:r w:rsidR="004E1065" w:rsidRPr="00EB109E">
        <w:rPr>
          <w:color w:val="000000" w:themeColor="text1"/>
          <w:sz w:val="22"/>
          <w:szCs w:val="22"/>
        </w:rPr>
        <w:t>. Queries in relation to this RFQ should be submitted to</w:t>
      </w:r>
      <w:r w:rsidR="00202A76">
        <w:t xml:space="preserve"> </w:t>
      </w:r>
      <w:hyperlink r:id="rId22" w:history="1">
        <w:r w:rsidR="00202A76" w:rsidRPr="00F92783">
          <w:rPr>
            <w:rStyle w:val="Hyperlink"/>
          </w:rPr>
          <w:t>karen_oconnor@health.gov.ie</w:t>
        </w:r>
      </w:hyperlink>
      <w:r w:rsidR="00D56D9A">
        <w:rPr>
          <w:rStyle w:val="Hyperlink"/>
        </w:rPr>
        <w:t xml:space="preserve"> </w:t>
      </w:r>
      <w:r w:rsidR="00D56D9A">
        <w:rPr>
          <w:color w:val="000000" w:themeColor="text1"/>
          <w:sz w:val="22"/>
          <w:szCs w:val="22"/>
        </w:rPr>
        <w:t xml:space="preserve">and </w:t>
      </w:r>
      <w:hyperlink r:id="rId23" w:history="1">
        <w:r w:rsidR="00D56D9A" w:rsidRPr="008F0436">
          <w:rPr>
            <w:rStyle w:val="Hyperlink"/>
            <w:sz w:val="22"/>
            <w:szCs w:val="22"/>
          </w:rPr>
          <w:t>chloe_kearns@health.gov.ie</w:t>
        </w:r>
      </w:hyperlink>
    </w:p>
    <w:p w14:paraId="51A40350" w14:textId="77777777" w:rsidR="00202A76" w:rsidRDefault="00202A76" w:rsidP="00EB109E">
      <w:pPr>
        <w:ind w:left="567" w:hanging="567"/>
        <w:jc w:val="both"/>
        <w:rPr>
          <w:rStyle w:val="Hyperlink"/>
          <w:color w:val="000000" w:themeColor="text1"/>
          <w:sz w:val="22"/>
          <w:szCs w:val="22"/>
          <w:u w:val="none"/>
        </w:rPr>
      </w:pPr>
    </w:p>
    <w:p w14:paraId="3B09818B" w14:textId="77777777" w:rsidR="00EB109E" w:rsidRDefault="00EB109E" w:rsidP="00EB109E">
      <w:pPr>
        <w:ind w:left="567" w:hanging="567"/>
        <w:jc w:val="both"/>
        <w:rPr>
          <w:rStyle w:val="Hyperlink"/>
          <w:color w:val="000000" w:themeColor="text1"/>
          <w:sz w:val="22"/>
          <w:szCs w:val="22"/>
          <w:u w:val="none"/>
        </w:rPr>
      </w:pPr>
    </w:p>
    <w:p w14:paraId="723D0B2B" w14:textId="1A64E769" w:rsidR="004A6949" w:rsidRPr="006C104F" w:rsidRDefault="00EB109E" w:rsidP="00EB109E">
      <w:pPr>
        <w:ind w:left="567" w:hanging="567"/>
        <w:jc w:val="both"/>
        <w:rPr>
          <w:color w:val="000000" w:themeColor="text1"/>
          <w:sz w:val="22"/>
          <w:szCs w:val="22"/>
        </w:rPr>
      </w:pPr>
      <w:r>
        <w:rPr>
          <w:rStyle w:val="Hyperlink"/>
          <w:color w:val="000000" w:themeColor="text1"/>
          <w:sz w:val="22"/>
          <w:szCs w:val="22"/>
          <w:u w:val="none"/>
        </w:rPr>
        <w:t>6.</w:t>
      </w:r>
      <w:r w:rsidR="00EF1DB8">
        <w:rPr>
          <w:rStyle w:val="Hyperlink"/>
          <w:color w:val="000000" w:themeColor="text1"/>
          <w:sz w:val="22"/>
          <w:szCs w:val="22"/>
          <w:u w:val="none"/>
        </w:rPr>
        <w:t>4</w:t>
      </w:r>
      <w:r>
        <w:rPr>
          <w:rStyle w:val="Hyperlink"/>
          <w:color w:val="000000" w:themeColor="text1"/>
          <w:sz w:val="22"/>
          <w:szCs w:val="22"/>
          <w:u w:val="none"/>
        </w:rPr>
        <w:tab/>
      </w:r>
      <w:r w:rsidR="004E1065" w:rsidRPr="006C104F">
        <w:rPr>
          <w:color w:val="000000" w:themeColor="text1"/>
          <w:sz w:val="22"/>
          <w:szCs w:val="22"/>
        </w:rPr>
        <w:t>A</w:t>
      </w:r>
      <w:r w:rsidR="004A6949" w:rsidRPr="006C104F">
        <w:rPr>
          <w:color w:val="000000" w:themeColor="text1"/>
          <w:sz w:val="22"/>
          <w:szCs w:val="22"/>
        </w:rPr>
        <w:t xml:space="preserve">ll queries or requests for further information relating to any aspect of this RFQ must be directed to the above email address only. Queries or requests for further information will be accepted no later than </w:t>
      </w:r>
      <w:r w:rsidR="008774B6" w:rsidRPr="006C104F">
        <w:rPr>
          <w:color w:val="000000" w:themeColor="text1"/>
          <w:sz w:val="22"/>
          <w:szCs w:val="22"/>
        </w:rPr>
        <w:t>the specified time above</w:t>
      </w:r>
      <w:r w:rsidR="004A6949" w:rsidRPr="006C104F">
        <w:rPr>
          <w:color w:val="000000" w:themeColor="text1"/>
          <w:sz w:val="22"/>
          <w:szCs w:val="22"/>
        </w:rPr>
        <w:t xml:space="preserve">, unless otherwise published by the </w:t>
      </w:r>
      <w:r w:rsidR="00CB48BD" w:rsidRPr="006C104F">
        <w:rPr>
          <w:color w:val="000000" w:themeColor="text1"/>
          <w:sz w:val="22"/>
          <w:szCs w:val="22"/>
        </w:rPr>
        <w:t>Department of Health</w:t>
      </w:r>
      <w:r w:rsidR="004A6949" w:rsidRPr="006C104F">
        <w:rPr>
          <w:color w:val="000000" w:themeColor="text1"/>
          <w:sz w:val="22"/>
          <w:szCs w:val="22"/>
        </w:rPr>
        <w:t>.</w:t>
      </w:r>
    </w:p>
    <w:p w14:paraId="775E4912" w14:textId="6D7EA551" w:rsidR="00FD4F0F" w:rsidRPr="006C104F" w:rsidRDefault="00FD4F0F" w:rsidP="00326D4E">
      <w:pPr>
        <w:spacing w:after="160" w:line="259" w:lineRule="auto"/>
        <w:rPr>
          <w:sz w:val="22"/>
          <w:szCs w:val="22"/>
        </w:rPr>
      </w:pPr>
      <w:r w:rsidRPr="006C104F">
        <w:rPr>
          <w:sz w:val="22"/>
          <w:szCs w:val="22"/>
        </w:rPr>
        <w:t xml:space="preserve"> </w:t>
      </w:r>
    </w:p>
    <w:p w14:paraId="5ADBDFF6" w14:textId="1693B8A4" w:rsidR="009C04E2" w:rsidRPr="006C104F" w:rsidRDefault="00FD4F0F" w:rsidP="00FD4F0F">
      <w:pPr>
        <w:spacing w:after="160" w:line="259" w:lineRule="auto"/>
        <w:rPr>
          <w:sz w:val="22"/>
          <w:szCs w:val="22"/>
        </w:rPr>
      </w:pPr>
      <w:r w:rsidRPr="006C104F">
        <w:rPr>
          <w:sz w:val="22"/>
          <w:szCs w:val="22"/>
        </w:rPr>
        <w:t> </w:t>
      </w:r>
    </w:p>
    <w:p w14:paraId="1A249948" w14:textId="1F084085" w:rsidR="00E75520" w:rsidRPr="006C104F" w:rsidRDefault="009C04E2" w:rsidP="003002F6">
      <w:pPr>
        <w:spacing w:after="160" w:line="259" w:lineRule="auto"/>
        <w:rPr>
          <w:sz w:val="22"/>
          <w:szCs w:val="22"/>
        </w:rPr>
      </w:pPr>
      <w:r w:rsidRPr="006C104F">
        <w:rPr>
          <w:sz w:val="22"/>
          <w:szCs w:val="22"/>
        </w:rPr>
        <w:br w:type="page"/>
      </w:r>
    </w:p>
    <w:p w14:paraId="0B3D3C81" w14:textId="2E1D23DC" w:rsidR="00A468CB" w:rsidRPr="006C104F" w:rsidRDefault="00EB109E" w:rsidP="00A468CB">
      <w:pPr>
        <w:jc w:val="center"/>
        <w:rPr>
          <w:b/>
          <w:sz w:val="22"/>
          <w:szCs w:val="22"/>
        </w:rPr>
      </w:pPr>
      <w:r>
        <w:rPr>
          <w:b/>
          <w:sz w:val="22"/>
          <w:szCs w:val="22"/>
        </w:rPr>
        <w:lastRenderedPageBreak/>
        <w:t xml:space="preserve">APPENDIX 1: </w:t>
      </w:r>
      <w:r w:rsidR="00A468CB" w:rsidRPr="006C104F">
        <w:rPr>
          <w:b/>
          <w:sz w:val="22"/>
          <w:szCs w:val="22"/>
        </w:rPr>
        <w:t>TERMS AND CONDITIONS</w:t>
      </w:r>
    </w:p>
    <w:p w14:paraId="31E09015" w14:textId="77777777" w:rsidR="005A067C" w:rsidRPr="006C104F" w:rsidRDefault="005A067C" w:rsidP="00A468CB">
      <w:pPr>
        <w:jc w:val="center"/>
        <w:rPr>
          <w:b/>
          <w:sz w:val="22"/>
          <w:szCs w:val="22"/>
        </w:rPr>
      </w:pPr>
    </w:p>
    <w:p w14:paraId="4746E9D8" w14:textId="77777777" w:rsidR="00A468CB" w:rsidRPr="006C104F" w:rsidRDefault="00A468CB" w:rsidP="00A468CB">
      <w:pPr>
        <w:pStyle w:val="ListParagraph"/>
        <w:numPr>
          <w:ilvl w:val="0"/>
          <w:numId w:val="20"/>
        </w:numPr>
        <w:spacing w:after="160" w:line="259" w:lineRule="auto"/>
        <w:contextualSpacing/>
        <w:rPr>
          <w:b/>
          <w:sz w:val="22"/>
          <w:szCs w:val="22"/>
        </w:rPr>
      </w:pPr>
      <w:r w:rsidRPr="006C104F">
        <w:rPr>
          <w:b/>
          <w:sz w:val="22"/>
          <w:szCs w:val="22"/>
        </w:rPr>
        <w:t>DEFINITIONS AND INTERPRETATION</w:t>
      </w:r>
    </w:p>
    <w:p w14:paraId="0685DA2A" w14:textId="77777777" w:rsidR="00A468CB" w:rsidRPr="006C104F" w:rsidRDefault="00A468CB" w:rsidP="00A468CB">
      <w:pPr>
        <w:pStyle w:val="ListParagraph"/>
        <w:spacing w:after="120" w:line="276" w:lineRule="auto"/>
        <w:jc w:val="both"/>
        <w:rPr>
          <w:sz w:val="22"/>
          <w:szCs w:val="22"/>
        </w:rPr>
      </w:pPr>
    </w:p>
    <w:p w14:paraId="580F36CD" w14:textId="77777777" w:rsidR="00A468CB" w:rsidRPr="006C104F" w:rsidRDefault="00A468CB" w:rsidP="00A468CB">
      <w:pPr>
        <w:pStyle w:val="ListParagraph"/>
        <w:numPr>
          <w:ilvl w:val="1"/>
          <w:numId w:val="20"/>
        </w:numPr>
        <w:spacing w:after="120" w:line="276" w:lineRule="auto"/>
        <w:ind w:left="426" w:hanging="426"/>
        <w:contextualSpacing/>
        <w:jc w:val="both"/>
        <w:rPr>
          <w:sz w:val="22"/>
          <w:szCs w:val="22"/>
        </w:rPr>
      </w:pPr>
      <w:r w:rsidRPr="006C104F">
        <w:rPr>
          <w:sz w:val="22"/>
          <w:szCs w:val="22"/>
        </w:rPr>
        <w:t>In these terms and conditions:</w:t>
      </w:r>
    </w:p>
    <w:p w14:paraId="40515CB9" w14:textId="1AA6A85F" w:rsidR="00F64961" w:rsidRPr="006C104F" w:rsidRDefault="00F64961" w:rsidP="00A468CB">
      <w:pPr>
        <w:spacing w:after="120" w:line="276" w:lineRule="auto"/>
        <w:jc w:val="both"/>
        <w:rPr>
          <w:sz w:val="22"/>
          <w:szCs w:val="22"/>
        </w:rPr>
      </w:pPr>
      <w:r w:rsidRPr="006C104F">
        <w:rPr>
          <w:sz w:val="22"/>
          <w:szCs w:val="22"/>
        </w:rPr>
        <w:t>“</w:t>
      </w:r>
      <w:r w:rsidRPr="00EB109E">
        <w:rPr>
          <w:b/>
          <w:bCs/>
          <w:sz w:val="22"/>
          <w:szCs w:val="22"/>
        </w:rPr>
        <w:t>Affected Party</w:t>
      </w:r>
      <w:r w:rsidRPr="006C104F">
        <w:rPr>
          <w:sz w:val="22"/>
          <w:szCs w:val="22"/>
        </w:rPr>
        <w:t>” means a party which is hindered or delayed in the performance of its obligation under this Contract by a Force Majeure Event:</w:t>
      </w:r>
    </w:p>
    <w:p w14:paraId="5AB6437E" w14:textId="0C5F09C4" w:rsidR="00A468CB" w:rsidRPr="006C104F" w:rsidRDefault="00A468CB" w:rsidP="00A468CB">
      <w:pPr>
        <w:spacing w:after="120" w:line="276" w:lineRule="auto"/>
        <w:jc w:val="both"/>
        <w:rPr>
          <w:sz w:val="22"/>
          <w:szCs w:val="22"/>
          <w:highlight w:val="green"/>
        </w:rPr>
      </w:pPr>
      <w:r w:rsidRPr="006C104F">
        <w:rPr>
          <w:sz w:val="22"/>
          <w:szCs w:val="22"/>
        </w:rPr>
        <w:t>“</w:t>
      </w:r>
      <w:r w:rsidRPr="006C104F">
        <w:rPr>
          <w:b/>
          <w:sz w:val="22"/>
          <w:szCs w:val="22"/>
        </w:rPr>
        <w:t>Contract</w:t>
      </w:r>
      <w:r w:rsidRPr="006C104F">
        <w:rPr>
          <w:sz w:val="22"/>
          <w:szCs w:val="22"/>
        </w:rPr>
        <w:t xml:space="preserve">” means the contract for the supply and acquisition of Services on these terms and </w:t>
      </w:r>
      <w:proofErr w:type="gramStart"/>
      <w:r w:rsidRPr="006C104F">
        <w:rPr>
          <w:sz w:val="22"/>
          <w:szCs w:val="22"/>
        </w:rPr>
        <w:t>conditions;</w:t>
      </w:r>
      <w:proofErr w:type="gramEnd"/>
    </w:p>
    <w:p w14:paraId="72A56FB1" w14:textId="119065E6" w:rsidR="00A468CB" w:rsidRPr="006C104F" w:rsidRDefault="00A468CB" w:rsidP="00A468CB">
      <w:pPr>
        <w:spacing w:after="120" w:line="276" w:lineRule="auto"/>
        <w:jc w:val="both"/>
        <w:rPr>
          <w:sz w:val="22"/>
          <w:szCs w:val="22"/>
        </w:rPr>
      </w:pPr>
      <w:r w:rsidRPr="006C104F">
        <w:rPr>
          <w:sz w:val="22"/>
          <w:szCs w:val="22"/>
        </w:rPr>
        <w:t>“</w:t>
      </w:r>
      <w:r w:rsidRPr="006C104F">
        <w:rPr>
          <w:b/>
          <w:bCs/>
          <w:sz w:val="22"/>
          <w:szCs w:val="22"/>
        </w:rPr>
        <w:t>Client</w:t>
      </w:r>
      <w:r w:rsidRPr="006C104F">
        <w:rPr>
          <w:sz w:val="22"/>
          <w:szCs w:val="22"/>
        </w:rPr>
        <w:t xml:space="preserve">” means the Department of </w:t>
      </w:r>
      <w:proofErr w:type="gramStart"/>
      <w:r w:rsidRPr="006C104F">
        <w:rPr>
          <w:sz w:val="22"/>
          <w:szCs w:val="22"/>
        </w:rPr>
        <w:t>Health;</w:t>
      </w:r>
      <w:proofErr w:type="gramEnd"/>
    </w:p>
    <w:p w14:paraId="4FBAE112" w14:textId="566350EA" w:rsidR="00A468CB" w:rsidRPr="006C104F" w:rsidRDefault="00A468CB" w:rsidP="00A468CB">
      <w:pPr>
        <w:spacing w:after="120" w:line="276" w:lineRule="auto"/>
        <w:jc w:val="both"/>
        <w:rPr>
          <w:sz w:val="22"/>
          <w:szCs w:val="22"/>
        </w:rPr>
      </w:pPr>
      <w:r w:rsidRPr="006C104F" w:rsidDel="00CB797A">
        <w:rPr>
          <w:sz w:val="22"/>
          <w:szCs w:val="22"/>
        </w:rPr>
        <w:t xml:space="preserve"> </w:t>
      </w:r>
      <w:r w:rsidRPr="006C104F">
        <w:rPr>
          <w:sz w:val="22"/>
          <w:szCs w:val="22"/>
        </w:rPr>
        <w:t>“</w:t>
      </w:r>
      <w:r w:rsidRPr="006C104F">
        <w:rPr>
          <w:b/>
          <w:bCs/>
          <w:sz w:val="22"/>
          <w:szCs w:val="22"/>
        </w:rPr>
        <w:t>Charges</w:t>
      </w:r>
      <w:r w:rsidRPr="006C104F">
        <w:rPr>
          <w:sz w:val="22"/>
          <w:szCs w:val="22"/>
        </w:rPr>
        <w:t xml:space="preserve">” means the price of the Services as set out in the Tender Proposal and confirmed by the </w:t>
      </w:r>
      <w:proofErr w:type="gramStart"/>
      <w:r w:rsidR="006C104F" w:rsidRPr="006C104F">
        <w:rPr>
          <w:sz w:val="22"/>
          <w:szCs w:val="22"/>
        </w:rPr>
        <w:t>Client;</w:t>
      </w:r>
      <w:proofErr w:type="gramEnd"/>
    </w:p>
    <w:p w14:paraId="4F594E79" w14:textId="3122D5A2" w:rsidR="00A468CB" w:rsidRPr="006C104F" w:rsidRDefault="00A468CB" w:rsidP="00A468CB">
      <w:pPr>
        <w:spacing w:after="120" w:line="276" w:lineRule="auto"/>
        <w:jc w:val="both"/>
        <w:rPr>
          <w:sz w:val="22"/>
          <w:szCs w:val="22"/>
        </w:rPr>
      </w:pPr>
      <w:r w:rsidRPr="006C104F">
        <w:rPr>
          <w:sz w:val="22"/>
          <w:szCs w:val="22"/>
        </w:rPr>
        <w:t>“</w:t>
      </w:r>
      <w:r w:rsidRPr="006C104F">
        <w:rPr>
          <w:b/>
          <w:bCs/>
          <w:sz w:val="22"/>
          <w:szCs w:val="22"/>
        </w:rPr>
        <w:t>Services</w:t>
      </w:r>
      <w:r w:rsidRPr="006C104F">
        <w:rPr>
          <w:sz w:val="22"/>
          <w:szCs w:val="22"/>
        </w:rPr>
        <w:t>” means the services</w:t>
      </w:r>
      <w:r w:rsidR="009F6549" w:rsidRPr="006C104F">
        <w:rPr>
          <w:sz w:val="22"/>
          <w:szCs w:val="22"/>
        </w:rPr>
        <w:t xml:space="preserve">, </w:t>
      </w:r>
      <w:r w:rsidRPr="006C104F">
        <w:rPr>
          <w:sz w:val="22"/>
          <w:szCs w:val="22"/>
        </w:rPr>
        <w:t>described in the RFQ</w:t>
      </w:r>
      <w:r w:rsidRPr="006C104F" w:rsidDel="00DD1A3E">
        <w:rPr>
          <w:sz w:val="22"/>
          <w:szCs w:val="22"/>
        </w:rPr>
        <w:t xml:space="preserve"> </w:t>
      </w:r>
      <w:r w:rsidRPr="006C104F">
        <w:rPr>
          <w:sz w:val="22"/>
          <w:szCs w:val="22"/>
        </w:rPr>
        <w:t>and</w:t>
      </w:r>
      <w:r w:rsidR="009C04E2" w:rsidRPr="006C104F">
        <w:rPr>
          <w:sz w:val="22"/>
          <w:szCs w:val="22"/>
        </w:rPr>
        <w:t xml:space="preserve"> which</w:t>
      </w:r>
      <w:r w:rsidRPr="006C104F">
        <w:rPr>
          <w:sz w:val="22"/>
          <w:szCs w:val="22"/>
        </w:rPr>
        <w:t xml:space="preserve"> </w:t>
      </w:r>
      <w:r w:rsidR="009C04E2" w:rsidRPr="006C104F">
        <w:rPr>
          <w:sz w:val="22"/>
          <w:szCs w:val="22"/>
        </w:rPr>
        <w:t xml:space="preserve">may be </w:t>
      </w:r>
      <w:r w:rsidRPr="006C104F">
        <w:rPr>
          <w:sz w:val="22"/>
          <w:szCs w:val="22"/>
        </w:rPr>
        <w:t>more particularly described in</w:t>
      </w:r>
      <w:r w:rsidR="007674C7" w:rsidRPr="006C104F">
        <w:rPr>
          <w:sz w:val="22"/>
          <w:szCs w:val="22"/>
        </w:rPr>
        <w:t xml:space="preserve"> the Order issued by </w:t>
      </w:r>
      <w:r w:rsidRPr="006C104F">
        <w:rPr>
          <w:sz w:val="22"/>
          <w:szCs w:val="22"/>
        </w:rPr>
        <w:t>the</w:t>
      </w:r>
      <w:r w:rsidR="00081B53" w:rsidRPr="006C104F">
        <w:rPr>
          <w:sz w:val="22"/>
          <w:szCs w:val="22"/>
        </w:rPr>
        <w:t xml:space="preserve"> Client </w:t>
      </w:r>
      <w:r w:rsidR="007674C7" w:rsidRPr="006C104F">
        <w:rPr>
          <w:sz w:val="22"/>
          <w:szCs w:val="22"/>
        </w:rPr>
        <w:t xml:space="preserve">to </w:t>
      </w:r>
      <w:r w:rsidR="00081B53" w:rsidRPr="006C104F">
        <w:rPr>
          <w:sz w:val="22"/>
          <w:szCs w:val="22"/>
        </w:rPr>
        <w:t>the Contractor</w:t>
      </w:r>
    </w:p>
    <w:p w14:paraId="3024571E" w14:textId="77777777" w:rsidR="00A468CB" w:rsidRPr="006C104F" w:rsidRDefault="00A468CB" w:rsidP="00A468CB">
      <w:pPr>
        <w:spacing w:after="120" w:line="276" w:lineRule="auto"/>
        <w:jc w:val="both"/>
        <w:rPr>
          <w:sz w:val="22"/>
          <w:szCs w:val="22"/>
        </w:rPr>
      </w:pPr>
      <w:r w:rsidRPr="006C104F">
        <w:rPr>
          <w:sz w:val="22"/>
          <w:szCs w:val="22"/>
        </w:rPr>
        <w:t>“</w:t>
      </w:r>
      <w:r w:rsidRPr="006C104F">
        <w:rPr>
          <w:b/>
          <w:bCs/>
          <w:sz w:val="22"/>
          <w:szCs w:val="22"/>
        </w:rPr>
        <w:t>Contractor</w:t>
      </w:r>
      <w:r w:rsidRPr="006C104F">
        <w:rPr>
          <w:sz w:val="22"/>
          <w:szCs w:val="22"/>
        </w:rPr>
        <w:t xml:space="preserve">” means the successful tenderer who submitted a tender proposal to the </w:t>
      </w:r>
      <w:proofErr w:type="gramStart"/>
      <w:r w:rsidRPr="006C104F">
        <w:rPr>
          <w:sz w:val="22"/>
          <w:szCs w:val="22"/>
        </w:rPr>
        <w:t>RFQ;</w:t>
      </w:r>
      <w:proofErr w:type="gramEnd"/>
    </w:p>
    <w:p w14:paraId="446103DA" w14:textId="3BCDA337" w:rsidR="00081B53" w:rsidRPr="006C104F" w:rsidRDefault="00081B53" w:rsidP="00081B53">
      <w:pPr>
        <w:spacing w:after="120" w:line="276" w:lineRule="auto"/>
        <w:jc w:val="both"/>
        <w:rPr>
          <w:sz w:val="22"/>
          <w:szCs w:val="22"/>
        </w:rPr>
      </w:pPr>
      <w:r w:rsidRPr="006C104F">
        <w:rPr>
          <w:sz w:val="22"/>
          <w:szCs w:val="22"/>
        </w:rPr>
        <w:t>“</w:t>
      </w:r>
      <w:r w:rsidRPr="006C104F">
        <w:rPr>
          <w:b/>
          <w:sz w:val="22"/>
          <w:szCs w:val="22"/>
        </w:rPr>
        <w:t>Order</w:t>
      </w:r>
      <w:r w:rsidRPr="006C104F">
        <w:rPr>
          <w:sz w:val="22"/>
          <w:szCs w:val="22"/>
        </w:rPr>
        <w:t xml:space="preserve">” means the Client’s order for the supply or services, as set out in the Client's order form or as provided otherwise in writing (including by email) </w:t>
      </w:r>
      <w:r w:rsidR="00EA309D" w:rsidRPr="006C104F">
        <w:rPr>
          <w:sz w:val="22"/>
          <w:szCs w:val="22"/>
        </w:rPr>
        <w:t xml:space="preserve">and as issued by the Client </w:t>
      </w:r>
      <w:r w:rsidRPr="006C104F">
        <w:rPr>
          <w:sz w:val="22"/>
          <w:szCs w:val="22"/>
        </w:rPr>
        <w:t xml:space="preserve">to the Contractor once the Contractor has been </w:t>
      </w:r>
      <w:r w:rsidR="007674C7" w:rsidRPr="006C104F">
        <w:rPr>
          <w:sz w:val="22"/>
          <w:szCs w:val="22"/>
        </w:rPr>
        <w:t>confirmed</w:t>
      </w:r>
      <w:r w:rsidRPr="006C104F">
        <w:rPr>
          <w:sz w:val="22"/>
          <w:szCs w:val="22"/>
        </w:rPr>
        <w:t xml:space="preserve"> the successful tenderer</w:t>
      </w:r>
    </w:p>
    <w:p w14:paraId="0B77C049" w14:textId="07DC84D5" w:rsidR="00A468CB" w:rsidRPr="006C104F" w:rsidRDefault="005A067C" w:rsidP="00A468CB">
      <w:pPr>
        <w:spacing w:after="120" w:line="276" w:lineRule="auto"/>
        <w:jc w:val="both"/>
        <w:rPr>
          <w:sz w:val="22"/>
          <w:szCs w:val="22"/>
        </w:rPr>
      </w:pPr>
      <w:r w:rsidRPr="006C104F">
        <w:rPr>
          <w:sz w:val="22"/>
          <w:szCs w:val="22"/>
        </w:rPr>
        <w:t xml:space="preserve"> </w:t>
      </w:r>
      <w:r w:rsidR="00A468CB" w:rsidRPr="006C104F">
        <w:rPr>
          <w:sz w:val="22"/>
          <w:szCs w:val="22"/>
        </w:rPr>
        <w:t>“</w:t>
      </w:r>
      <w:r w:rsidR="00A468CB" w:rsidRPr="006C104F">
        <w:rPr>
          <w:b/>
          <w:bCs/>
          <w:sz w:val="22"/>
          <w:szCs w:val="22"/>
        </w:rPr>
        <w:t>Tender Proposal</w:t>
      </w:r>
      <w:r w:rsidR="00A468CB" w:rsidRPr="006C104F">
        <w:rPr>
          <w:sz w:val="22"/>
          <w:szCs w:val="22"/>
        </w:rPr>
        <w:t xml:space="preserve">” means the Contractor’s response to the Client’s RFQ </w:t>
      </w:r>
    </w:p>
    <w:p w14:paraId="0C1872FC" w14:textId="77777777" w:rsidR="00A468CB" w:rsidRPr="006C104F" w:rsidRDefault="00A468CB" w:rsidP="00A468CB">
      <w:pPr>
        <w:spacing w:after="120" w:line="276" w:lineRule="auto"/>
        <w:jc w:val="both"/>
        <w:rPr>
          <w:sz w:val="22"/>
          <w:szCs w:val="22"/>
        </w:rPr>
      </w:pPr>
      <w:r w:rsidRPr="006C104F">
        <w:rPr>
          <w:sz w:val="22"/>
          <w:szCs w:val="22"/>
        </w:rPr>
        <w:t>“</w:t>
      </w:r>
      <w:r w:rsidRPr="006C104F">
        <w:rPr>
          <w:b/>
          <w:bCs/>
          <w:sz w:val="22"/>
          <w:szCs w:val="22"/>
        </w:rPr>
        <w:t>Force Majeure Event</w:t>
      </w:r>
      <w:r w:rsidRPr="006C104F">
        <w:rPr>
          <w:sz w:val="22"/>
          <w:szCs w:val="22"/>
        </w:rPr>
        <w:t>” means an event or circumstance or combination of events and/or circumstances not within the reasonable control of the Affected Party which has the effect of delaying or preventing that Party from complying with its obligations under this Agreement including but not limited to acts of God, war,  insurrection, riot, civil disturbance, rebellion, acts of terrorism, government regulations, embargoes, explosions, fires, floods, tempests, or failures of supply of electrical power, or public telecommunications equipment or lines, excluding industrial action of whatever nature or cause (strikes, lockouts and similar) occurring at the Contractor’s place of business;</w:t>
      </w:r>
    </w:p>
    <w:p w14:paraId="20FFE572" w14:textId="5AFB4454" w:rsidR="00A468CB" w:rsidRPr="006C104F" w:rsidRDefault="00A468CB" w:rsidP="00A468CB">
      <w:pPr>
        <w:spacing w:after="120" w:line="276" w:lineRule="auto"/>
        <w:jc w:val="both"/>
        <w:rPr>
          <w:sz w:val="22"/>
          <w:szCs w:val="22"/>
        </w:rPr>
      </w:pPr>
      <w:r w:rsidRPr="006C104F">
        <w:rPr>
          <w:sz w:val="22"/>
          <w:szCs w:val="22"/>
        </w:rPr>
        <w:t>“</w:t>
      </w:r>
      <w:r w:rsidRPr="006C104F">
        <w:rPr>
          <w:b/>
          <w:sz w:val="22"/>
          <w:szCs w:val="22"/>
        </w:rPr>
        <w:t>RFQ</w:t>
      </w:r>
      <w:r w:rsidRPr="006C104F">
        <w:rPr>
          <w:sz w:val="22"/>
          <w:szCs w:val="22"/>
        </w:rPr>
        <w:t xml:space="preserve">” means the Request for Quote document for the Services circulated by the Client </w:t>
      </w:r>
    </w:p>
    <w:p w14:paraId="1B02C5EF" w14:textId="71A83EA6" w:rsidR="005A067C" w:rsidRPr="006C104F" w:rsidRDefault="005A067C" w:rsidP="00A468CB">
      <w:pPr>
        <w:spacing w:after="120" w:line="276" w:lineRule="auto"/>
        <w:jc w:val="both"/>
        <w:rPr>
          <w:sz w:val="22"/>
          <w:szCs w:val="22"/>
        </w:rPr>
      </w:pPr>
      <w:r w:rsidRPr="006C104F">
        <w:rPr>
          <w:sz w:val="22"/>
          <w:szCs w:val="22"/>
        </w:rPr>
        <w:t>“</w:t>
      </w:r>
      <w:r w:rsidRPr="006C104F">
        <w:rPr>
          <w:b/>
          <w:sz w:val="22"/>
          <w:szCs w:val="22"/>
        </w:rPr>
        <w:t>Term</w:t>
      </w:r>
      <w:r w:rsidRPr="006C104F">
        <w:rPr>
          <w:sz w:val="22"/>
          <w:szCs w:val="22"/>
        </w:rPr>
        <w:t>” means the duration of this contract</w:t>
      </w:r>
      <w:r w:rsidR="007674C7" w:rsidRPr="006C104F">
        <w:rPr>
          <w:sz w:val="22"/>
          <w:szCs w:val="22"/>
        </w:rPr>
        <w:t xml:space="preserve"> and the date upon which this contract comes into being</w:t>
      </w:r>
      <w:r w:rsidRPr="006C104F">
        <w:rPr>
          <w:sz w:val="22"/>
          <w:szCs w:val="22"/>
        </w:rPr>
        <w:t xml:space="preserve"> as set out at section 2.2 of the RFQ.</w:t>
      </w:r>
    </w:p>
    <w:p w14:paraId="14120D39" w14:textId="77777777" w:rsidR="00A468CB" w:rsidRPr="006C104F" w:rsidRDefault="00A468CB" w:rsidP="00A468CB">
      <w:pPr>
        <w:pStyle w:val="ListParagraph"/>
        <w:numPr>
          <w:ilvl w:val="1"/>
          <w:numId w:val="16"/>
        </w:numPr>
        <w:spacing w:after="120" w:line="276" w:lineRule="auto"/>
        <w:contextualSpacing/>
        <w:jc w:val="both"/>
        <w:rPr>
          <w:sz w:val="22"/>
          <w:szCs w:val="22"/>
        </w:rPr>
      </w:pPr>
      <w:r w:rsidRPr="006C104F">
        <w:rPr>
          <w:sz w:val="22"/>
          <w:szCs w:val="22"/>
        </w:rPr>
        <w:t>Where the context so admits or requires, words in this Contract denoting the singular include the plural and vice versa and words denoting any gender include all genders.</w:t>
      </w:r>
    </w:p>
    <w:p w14:paraId="13921023" w14:textId="77777777" w:rsidR="00A468CB" w:rsidRPr="006C104F" w:rsidRDefault="00A468CB" w:rsidP="00A468CB">
      <w:pPr>
        <w:pStyle w:val="ListParagraph"/>
        <w:spacing w:after="120" w:line="276" w:lineRule="auto"/>
        <w:ind w:left="360"/>
        <w:jc w:val="both"/>
        <w:rPr>
          <w:sz w:val="22"/>
          <w:szCs w:val="22"/>
        </w:rPr>
      </w:pPr>
    </w:p>
    <w:p w14:paraId="6581CCAE" w14:textId="77777777" w:rsidR="00A468CB" w:rsidRPr="006C104F" w:rsidRDefault="00A468CB" w:rsidP="00A468CB">
      <w:pPr>
        <w:pStyle w:val="ListParagraph"/>
        <w:numPr>
          <w:ilvl w:val="1"/>
          <w:numId w:val="16"/>
        </w:numPr>
        <w:spacing w:after="120" w:line="276" w:lineRule="auto"/>
        <w:contextualSpacing/>
        <w:jc w:val="both"/>
        <w:rPr>
          <w:sz w:val="22"/>
          <w:szCs w:val="22"/>
        </w:rPr>
      </w:pPr>
      <w:r w:rsidRPr="006C104F">
        <w:rPr>
          <w:sz w:val="22"/>
          <w:szCs w:val="22"/>
        </w:rPr>
        <w:t xml:space="preserve">Where the words “include(s)” or “including”, or words of a similar nature, are used in these terms and conditions, they are deemed to have the words “without limitation” following </w:t>
      </w:r>
      <w:proofErr w:type="gramStart"/>
      <w:r w:rsidRPr="006C104F">
        <w:rPr>
          <w:sz w:val="22"/>
          <w:szCs w:val="22"/>
        </w:rPr>
        <w:t>them, and</w:t>
      </w:r>
      <w:proofErr w:type="gramEnd"/>
      <w:r w:rsidRPr="006C104F">
        <w:rPr>
          <w:sz w:val="22"/>
          <w:szCs w:val="22"/>
        </w:rPr>
        <w:t xml:space="preserve"> are illustrative and shall not limit the sense of the words preceding them.</w:t>
      </w:r>
    </w:p>
    <w:p w14:paraId="3F96115E" w14:textId="77777777" w:rsidR="00A468CB" w:rsidRPr="006C104F" w:rsidRDefault="00A468CB" w:rsidP="00A468CB">
      <w:pPr>
        <w:pStyle w:val="ListParagraph"/>
        <w:spacing w:after="120" w:line="276" w:lineRule="auto"/>
        <w:ind w:left="360"/>
        <w:jc w:val="both"/>
        <w:rPr>
          <w:sz w:val="22"/>
          <w:szCs w:val="22"/>
        </w:rPr>
      </w:pPr>
    </w:p>
    <w:p w14:paraId="598B2AF1" w14:textId="77777777" w:rsidR="00A468CB" w:rsidRPr="006C104F" w:rsidRDefault="00A468CB" w:rsidP="00A468CB">
      <w:pPr>
        <w:pStyle w:val="ListParagraph"/>
        <w:numPr>
          <w:ilvl w:val="0"/>
          <w:numId w:val="21"/>
        </w:numPr>
        <w:spacing w:after="120" w:line="276" w:lineRule="auto"/>
        <w:contextualSpacing/>
        <w:jc w:val="both"/>
        <w:rPr>
          <w:b/>
          <w:bCs/>
          <w:sz w:val="22"/>
          <w:szCs w:val="22"/>
        </w:rPr>
      </w:pPr>
      <w:r w:rsidRPr="006C104F">
        <w:rPr>
          <w:b/>
          <w:bCs/>
          <w:sz w:val="22"/>
          <w:szCs w:val="22"/>
        </w:rPr>
        <w:t>BASIS OF PURCHASE OF SERVICES</w:t>
      </w:r>
    </w:p>
    <w:p w14:paraId="4AFB575C" w14:textId="77777777" w:rsidR="00A468CB" w:rsidRPr="006C104F" w:rsidRDefault="00A468CB" w:rsidP="00A468CB">
      <w:pPr>
        <w:pStyle w:val="ListParagraph"/>
        <w:spacing w:after="120" w:line="276" w:lineRule="auto"/>
        <w:jc w:val="both"/>
        <w:rPr>
          <w:sz w:val="22"/>
          <w:szCs w:val="22"/>
        </w:rPr>
      </w:pPr>
    </w:p>
    <w:p w14:paraId="27534F45" w14:textId="592600DC" w:rsidR="00A468CB" w:rsidRPr="006C104F" w:rsidRDefault="00A468CB" w:rsidP="00A468CB">
      <w:pPr>
        <w:pStyle w:val="ListParagraph"/>
        <w:numPr>
          <w:ilvl w:val="1"/>
          <w:numId w:val="21"/>
        </w:numPr>
        <w:spacing w:after="120" w:line="276" w:lineRule="auto"/>
        <w:ind w:left="426" w:hanging="426"/>
        <w:contextualSpacing/>
        <w:jc w:val="both"/>
        <w:rPr>
          <w:sz w:val="22"/>
          <w:szCs w:val="22"/>
        </w:rPr>
      </w:pPr>
      <w:r w:rsidRPr="006C104F">
        <w:rPr>
          <w:sz w:val="22"/>
          <w:szCs w:val="22"/>
        </w:rPr>
        <w:t>The</w:t>
      </w:r>
      <w:r w:rsidR="00081B53" w:rsidRPr="006C104F">
        <w:rPr>
          <w:sz w:val="22"/>
          <w:szCs w:val="22"/>
        </w:rPr>
        <w:t xml:space="preserve"> Order</w:t>
      </w:r>
      <w:r w:rsidRPr="006C104F" w:rsidDel="00DD1A3E">
        <w:rPr>
          <w:sz w:val="22"/>
          <w:szCs w:val="22"/>
        </w:rPr>
        <w:t xml:space="preserve"> </w:t>
      </w:r>
      <w:r w:rsidRPr="006C104F">
        <w:rPr>
          <w:sz w:val="22"/>
          <w:szCs w:val="22"/>
        </w:rPr>
        <w:t>constitutes an offer by the Client to purchase the Services</w:t>
      </w:r>
      <w:r w:rsidR="00081B53" w:rsidRPr="006C104F">
        <w:rPr>
          <w:sz w:val="22"/>
          <w:szCs w:val="22"/>
        </w:rPr>
        <w:t xml:space="preserve"> as described in the RFQ and confirmed in the Order</w:t>
      </w:r>
      <w:r w:rsidRPr="006C104F">
        <w:rPr>
          <w:sz w:val="22"/>
          <w:szCs w:val="22"/>
        </w:rPr>
        <w:t xml:space="preserve"> subject to these terms and conditions.</w:t>
      </w:r>
    </w:p>
    <w:p w14:paraId="4214E4A8" w14:textId="77777777" w:rsidR="00A468CB" w:rsidRPr="006C104F" w:rsidRDefault="00A468CB" w:rsidP="00A468CB">
      <w:pPr>
        <w:pStyle w:val="ListParagraph"/>
        <w:spacing w:after="120" w:line="276" w:lineRule="auto"/>
        <w:ind w:left="426"/>
        <w:jc w:val="both"/>
        <w:rPr>
          <w:sz w:val="22"/>
          <w:szCs w:val="22"/>
        </w:rPr>
      </w:pPr>
    </w:p>
    <w:p w14:paraId="38E8D69D" w14:textId="71DEC272" w:rsidR="00FD4F0F" w:rsidRPr="006C104F" w:rsidRDefault="00A468CB" w:rsidP="00A468CB">
      <w:pPr>
        <w:pStyle w:val="ListParagraph"/>
        <w:numPr>
          <w:ilvl w:val="1"/>
          <w:numId w:val="21"/>
        </w:numPr>
        <w:spacing w:after="120" w:line="276" w:lineRule="auto"/>
        <w:ind w:left="426" w:hanging="426"/>
        <w:contextualSpacing/>
        <w:jc w:val="both"/>
        <w:rPr>
          <w:sz w:val="22"/>
          <w:szCs w:val="22"/>
        </w:rPr>
      </w:pPr>
      <w:r w:rsidRPr="006C104F">
        <w:rPr>
          <w:sz w:val="22"/>
          <w:szCs w:val="22"/>
        </w:rPr>
        <w:lastRenderedPageBreak/>
        <w:t xml:space="preserve">The Contractor will provide the Services more particularity identified in the </w:t>
      </w:r>
      <w:r w:rsidR="009C04E2" w:rsidRPr="006C104F">
        <w:rPr>
          <w:sz w:val="22"/>
          <w:szCs w:val="22"/>
        </w:rPr>
        <w:t xml:space="preserve">RFQ </w:t>
      </w:r>
      <w:r w:rsidRPr="006C104F">
        <w:rPr>
          <w:sz w:val="22"/>
          <w:szCs w:val="22"/>
        </w:rPr>
        <w:t>during the Term</w:t>
      </w:r>
      <w:r w:rsidR="00FD4F0F" w:rsidRPr="006C104F">
        <w:rPr>
          <w:sz w:val="22"/>
          <w:szCs w:val="22"/>
        </w:rPr>
        <w:t xml:space="preserve"> or any such extensions, as set out in the RFQ and if sought by the Client providing 14 days’ notice to the Contractor, if the Client chooses, at its discretion to extend the Term. </w:t>
      </w:r>
    </w:p>
    <w:p w14:paraId="1B5995B9" w14:textId="77777777" w:rsidR="00FD4F0F" w:rsidRPr="006C104F" w:rsidRDefault="00FD4F0F" w:rsidP="00326D4E">
      <w:pPr>
        <w:pStyle w:val="ListParagraph"/>
        <w:rPr>
          <w:sz w:val="22"/>
          <w:szCs w:val="22"/>
        </w:rPr>
      </w:pPr>
    </w:p>
    <w:p w14:paraId="3694CBA9" w14:textId="11578E8F" w:rsidR="00A468CB" w:rsidRPr="006C104F" w:rsidRDefault="00A468CB" w:rsidP="00A468CB">
      <w:pPr>
        <w:pStyle w:val="ListParagraph"/>
        <w:numPr>
          <w:ilvl w:val="1"/>
          <w:numId w:val="21"/>
        </w:numPr>
        <w:spacing w:after="120" w:line="276" w:lineRule="auto"/>
        <w:ind w:left="426" w:hanging="426"/>
        <w:contextualSpacing/>
        <w:jc w:val="both"/>
        <w:rPr>
          <w:sz w:val="22"/>
          <w:szCs w:val="22"/>
        </w:rPr>
      </w:pPr>
      <w:r w:rsidRPr="006C104F">
        <w:rPr>
          <w:sz w:val="22"/>
          <w:szCs w:val="22"/>
        </w:rPr>
        <w:t xml:space="preserve">The Contractor shall be deemed to have accepted these terms and conditions by submitting a signed Tender Proposal in the manner set out in the RFQ (notwithstanding any conditions attached to such acceptance or any purported incorporation of terms other than these terms and conditions) and by performing any Services </w:t>
      </w:r>
      <w:r w:rsidR="00081B53" w:rsidRPr="006C104F">
        <w:rPr>
          <w:sz w:val="22"/>
          <w:szCs w:val="22"/>
        </w:rPr>
        <w:t xml:space="preserve">sought by the Client in its Order </w:t>
      </w:r>
    </w:p>
    <w:p w14:paraId="0555E8F1" w14:textId="3B23FF6B" w:rsidR="00A468CB" w:rsidRPr="006C104F" w:rsidRDefault="00A468CB" w:rsidP="006C104F">
      <w:pPr>
        <w:spacing w:after="120" w:line="276" w:lineRule="auto"/>
        <w:jc w:val="both"/>
        <w:rPr>
          <w:sz w:val="22"/>
          <w:szCs w:val="22"/>
        </w:rPr>
      </w:pPr>
    </w:p>
    <w:p w14:paraId="4BD61129" w14:textId="77777777" w:rsidR="00A468CB" w:rsidRPr="006C104F" w:rsidRDefault="00A468CB" w:rsidP="00A468CB">
      <w:pPr>
        <w:spacing w:after="120" w:line="276" w:lineRule="auto"/>
        <w:ind w:left="709" w:hanging="283"/>
        <w:jc w:val="both"/>
        <w:rPr>
          <w:sz w:val="22"/>
          <w:szCs w:val="22"/>
        </w:rPr>
      </w:pPr>
      <w:r w:rsidRPr="006C104F">
        <w:rPr>
          <w:b/>
          <w:bCs/>
          <w:sz w:val="22"/>
          <w:szCs w:val="22"/>
        </w:rPr>
        <w:t>3.</w:t>
      </w:r>
      <w:r w:rsidRPr="006C104F">
        <w:rPr>
          <w:b/>
          <w:bCs/>
          <w:sz w:val="22"/>
          <w:szCs w:val="22"/>
        </w:rPr>
        <w:tab/>
        <w:t>SUPPLY OF SERVICES – CONTRACTOR OBLIGATIONS</w:t>
      </w:r>
    </w:p>
    <w:p w14:paraId="6E5D20CB" w14:textId="77777777" w:rsidR="00A468CB" w:rsidRPr="006C104F" w:rsidRDefault="00A468CB" w:rsidP="00A468CB">
      <w:pPr>
        <w:spacing w:after="120" w:line="276" w:lineRule="auto"/>
        <w:ind w:left="426" w:hanging="426"/>
        <w:jc w:val="both"/>
        <w:rPr>
          <w:sz w:val="22"/>
          <w:szCs w:val="22"/>
        </w:rPr>
      </w:pPr>
      <w:r w:rsidRPr="006C104F">
        <w:rPr>
          <w:sz w:val="22"/>
          <w:szCs w:val="22"/>
        </w:rPr>
        <w:t>3.1 The Contractor shall:</w:t>
      </w:r>
    </w:p>
    <w:p w14:paraId="05BFEFDB" w14:textId="77777777" w:rsidR="00A468CB" w:rsidRPr="006C104F" w:rsidRDefault="00A468CB" w:rsidP="00A468CB">
      <w:pPr>
        <w:pStyle w:val="ListParagraph"/>
        <w:numPr>
          <w:ilvl w:val="0"/>
          <w:numId w:val="17"/>
        </w:numPr>
        <w:spacing w:after="120" w:line="276" w:lineRule="auto"/>
        <w:contextualSpacing/>
        <w:jc w:val="both"/>
        <w:rPr>
          <w:sz w:val="22"/>
          <w:szCs w:val="22"/>
        </w:rPr>
      </w:pPr>
      <w:r w:rsidRPr="006C104F">
        <w:rPr>
          <w:sz w:val="22"/>
          <w:szCs w:val="22"/>
        </w:rPr>
        <w:t>act with due care, skill and diligence in the provision of the Services and generally in the carrying out of its obligations under this Contract and in the appointment, monitoring and retention of its agents.  The Contractor shall exercise due care, skill and diligence in the provision of the Services and generally in the carrying out of obligations allocated by the Contractor to its agents and under this Contract.</w:t>
      </w:r>
    </w:p>
    <w:p w14:paraId="2F614B73" w14:textId="4D13797E" w:rsidR="00A468CB" w:rsidRPr="006C104F" w:rsidRDefault="00A468CB" w:rsidP="00A468CB">
      <w:pPr>
        <w:pStyle w:val="ListParagraph"/>
        <w:numPr>
          <w:ilvl w:val="0"/>
          <w:numId w:val="17"/>
        </w:numPr>
        <w:spacing w:after="120" w:line="276" w:lineRule="auto"/>
        <w:contextualSpacing/>
        <w:jc w:val="both"/>
        <w:rPr>
          <w:sz w:val="22"/>
          <w:szCs w:val="22"/>
        </w:rPr>
      </w:pPr>
      <w:r w:rsidRPr="006C104F">
        <w:rPr>
          <w:sz w:val="22"/>
          <w:szCs w:val="22"/>
        </w:rPr>
        <w:t xml:space="preserve">in consideration of the payment of the Charges and subject to clause 3 the Contractor shall provide the Services in accordance with requirements set out in the </w:t>
      </w:r>
      <w:r w:rsidR="00F64961" w:rsidRPr="006C104F">
        <w:rPr>
          <w:sz w:val="22"/>
          <w:szCs w:val="22"/>
        </w:rPr>
        <w:t>RFQ</w:t>
      </w:r>
      <w:r w:rsidR="0017054E" w:rsidRPr="006C104F">
        <w:rPr>
          <w:sz w:val="22"/>
          <w:szCs w:val="22"/>
        </w:rPr>
        <w:t xml:space="preserve"> and confirmed in the Order</w:t>
      </w:r>
      <w:r w:rsidRPr="006C104F">
        <w:rPr>
          <w:sz w:val="22"/>
          <w:szCs w:val="22"/>
        </w:rPr>
        <w:t>.</w:t>
      </w:r>
    </w:p>
    <w:p w14:paraId="429838AB" w14:textId="77777777" w:rsidR="00A468CB" w:rsidRPr="006C104F" w:rsidRDefault="00A468CB" w:rsidP="00A468CB">
      <w:pPr>
        <w:pStyle w:val="ListParagraph"/>
        <w:numPr>
          <w:ilvl w:val="0"/>
          <w:numId w:val="17"/>
        </w:numPr>
        <w:spacing w:after="120" w:line="276" w:lineRule="auto"/>
        <w:contextualSpacing/>
        <w:jc w:val="both"/>
        <w:rPr>
          <w:sz w:val="22"/>
          <w:szCs w:val="22"/>
        </w:rPr>
      </w:pPr>
      <w:r w:rsidRPr="006C104F">
        <w:rPr>
          <w:sz w:val="22"/>
          <w:szCs w:val="22"/>
        </w:rPr>
        <w:t xml:space="preserve">provide the Services in accordance with good industry practice and comply with all applicable laws. </w:t>
      </w:r>
    </w:p>
    <w:p w14:paraId="64C2D34F" w14:textId="6FD93AF2" w:rsidR="00A468CB" w:rsidRPr="006C104F" w:rsidRDefault="00A468CB" w:rsidP="00A468CB">
      <w:pPr>
        <w:pStyle w:val="ListParagraph"/>
        <w:numPr>
          <w:ilvl w:val="0"/>
          <w:numId w:val="17"/>
        </w:numPr>
        <w:spacing w:after="120" w:line="276" w:lineRule="auto"/>
        <w:contextualSpacing/>
        <w:jc w:val="both"/>
        <w:rPr>
          <w:sz w:val="22"/>
          <w:szCs w:val="22"/>
        </w:rPr>
      </w:pPr>
      <w:r w:rsidRPr="006C104F">
        <w:rPr>
          <w:sz w:val="22"/>
          <w:szCs w:val="22"/>
        </w:rPr>
        <w:t xml:space="preserve">provide the Services within the response times set out in the </w:t>
      </w:r>
      <w:r w:rsidR="00F64961" w:rsidRPr="006C104F">
        <w:rPr>
          <w:sz w:val="22"/>
          <w:szCs w:val="22"/>
        </w:rPr>
        <w:t>RFQ</w:t>
      </w:r>
      <w:r w:rsidR="0017054E" w:rsidRPr="006C104F">
        <w:rPr>
          <w:sz w:val="22"/>
          <w:szCs w:val="22"/>
        </w:rPr>
        <w:t xml:space="preserve"> and confirmed in the Order</w:t>
      </w:r>
      <w:r w:rsidRPr="006C104F">
        <w:rPr>
          <w:sz w:val="22"/>
          <w:szCs w:val="22"/>
        </w:rPr>
        <w:t>.</w:t>
      </w:r>
    </w:p>
    <w:p w14:paraId="213159B7" w14:textId="0A45E8CE" w:rsidR="00A468CB" w:rsidRPr="006C104F" w:rsidRDefault="00A468CB" w:rsidP="00A468CB">
      <w:pPr>
        <w:pStyle w:val="ListParagraph"/>
        <w:numPr>
          <w:ilvl w:val="0"/>
          <w:numId w:val="17"/>
        </w:numPr>
        <w:spacing w:after="120" w:line="276" w:lineRule="auto"/>
        <w:contextualSpacing/>
        <w:jc w:val="both"/>
        <w:rPr>
          <w:sz w:val="22"/>
          <w:szCs w:val="22"/>
        </w:rPr>
      </w:pPr>
      <w:r w:rsidRPr="006C104F">
        <w:rPr>
          <w:sz w:val="22"/>
          <w:szCs w:val="22"/>
        </w:rPr>
        <w:t xml:space="preserve">retain and shall maintain for the Term insurances for the nature and amount specified in the </w:t>
      </w:r>
      <w:r w:rsidR="00F64961" w:rsidRPr="006C104F">
        <w:rPr>
          <w:sz w:val="22"/>
          <w:szCs w:val="22"/>
        </w:rPr>
        <w:t>RFQ</w:t>
      </w:r>
      <w:r w:rsidRPr="006C104F">
        <w:rPr>
          <w:sz w:val="22"/>
          <w:szCs w:val="22"/>
        </w:rPr>
        <w:t xml:space="preserve">.  The Contractor undertakes to advise the Client forthwith of any material change to its insured status. </w:t>
      </w:r>
    </w:p>
    <w:p w14:paraId="5323290E" w14:textId="77777777" w:rsidR="00A468CB" w:rsidRPr="006C104F" w:rsidRDefault="00A468CB" w:rsidP="00A468CB">
      <w:pPr>
        <w:pStyle w:val="ListParagraph"/>
        <w:spacing w:after="120" w:line="276" w:lineRule="auto"/>
        <w:jc w:val="both"/>
        <w:rPr>
          <w:sz w:val="22"/>
          <w:szCs w:val="22"/>
        </w:rPr>
      </w:pPr>
    </w:p>
    <w:p w14:paraId="06EAD754" w14:textId="31DE2033" w:rsidR="00A468CB" w:rsidRPr="006C104F" w:rsidRDefault="00A468CB" w:rsidP="00A468CB">
      <w:pPr>
        <w:spacing w:after="120" w:line="276" w:lineRule="auto"/>
        <w:ind w:left="360" w:hanging="360"/>
        <w:jc w:val="both"/>
        <w:rPr>
          <w:sz w:val="22"/>
          <w:szCs w:val="22"/>
        </w:rPr>
      </w:pPr>
      <w:r w:rsidRPr="006C104F">
        <w:rPr>
          <w:sz w:val="22"/>
          <w:szCs w:val="22"/>
        </w:rPr>
        <w:t>3.2</w:t>
      </w:r>
      <w:r w:rsidRPr="006C104F">
        <w:rPr>
          <w:sz w:val="22"/>
          <w:szCs w:val="22"/>
        </w:rPr>
        <w:tab/>
        <w:t xml:space="preserve">The Contractor hereby assigns to the Client all intellectual property rights in the material created by the Contractor </w:t>
      </w:r>
      <w:proofErr w:type="gramStart"/>
      <w:r w:rsidRPr="006C104F">
        <w:rPr>
          <w:sz w:val="22"/>
          <w:szCs w:val="22"/>
        </w:rPr>
        <w:t>in the course of</w:t>
      </w:r>
      <w:proofErr w:type="gramEnd"/>
      <w:r w:rsidRPr="006C104F">
        <w:rPr>
          <w:sz w:val="22"/>
          <w:szCs w:val="22"/>
        </w:rPr>
        <w:t xml:space="preserve"> performing the Services</w:t>
      </w:r>
      <w:r w:rsidR="005A067C" w:rsidRPr="006C104F">
        <w:rPr>
          <w:sz w:val="22"/>
          <w:szCs w:val="22"/>
        </w:rPr>
        <w:t xml:space="preserve"> such as user guides, concept, guidelines or other material developed.</w:t>
      </w:r>
    </w:p>
    <w:p w14:paraId="7A5371CD" w14:textId="77777777" w:rsidR="00A468CB" w:rsidRPr="006C104F" w:rsidRDefault="00A468CB" w:rsidP="00A468CB">
      <w:pPr>
        <w:spacing w:after="120" w:line="276" w:lineRule="auto"/>
        <w:jc w:val="both"/>
        <w:rPr>
          <w:sz w:val="22"/>
          <w:szCs w:val="22"/>
        </w:rPr>
      </w:pPr>
    </w:p>
    <w:p w14:paraId="6E41BFD4" w14:textId="77777777" w:rsidR="00A468CB" w:rsidRPr="006C104F" w:rsidRDefault="00A468CB" w:rsidP="00A468CB">
      <w:pPr>
        <w:pStyle w:val="ListParagraph"/>
        <w:numPr>
          <w:ilvl w:val="0"/>
          <w:numId w:val="22"/>
        </w:numPr>
        <w:spacing w:after="120" w:line="276" w:lineRule="auto"/>
        <w:contextualSpacing/>
        <w:jc w:val="both"/>
        <w:rPr>
          <w:b/>
          <w:bCs/>
          <w:sz w:val="22"/>
          <w:szCs w:val="22"/>
        </w:rPr>
      </w:pPr>
      <w:r w:rsidRPr="006C104F">
        <w:rPr>
          <w:b/>
          <w:bCs/>
          <w:sz w:val="22"/>
          <w:szCs w:val="22"/>
        </w:rPr>
        <w:t>CHARGES AND PAYMENT</w:t>
      </w:r>
    </w:p>
    <w:p w14:paraId="6B6919AE" w14:textId="77777777" w:rsidR="00A468CB" w:rsidRPr="006C104F" w:rsidRDefault="00A468CB" w:rsidP="00A468CB">
      <w:pPr>
        <w:pStyle w:val="ListParagraph"/>
        <w:spacing w:after="120" w:line="276" w:lineRule="auto"/>
        <w:jc w:val="both"/>
        <w:rPr>
          <w:b/>
          <w:bCs/>
          <w:sz w:val="22"/>
          <w:szCs w:val="22"/>
        </w:rPr>
      </w:pPr>
    </w:p>
    <w:p w14:paraId="3A0B172E" w14:textId="7BB74B19" w:rsidR="00A468CB" w:rsidRPr="006C104F" w:rsidRDefault="00A468CB" w:rsidP="00A468CB">
      <w:pPr>
        <w:spacing w:after="120" w:line="276" w:lineRule="auto"/>
        <w:ind w:left="426" w:hanging="426"/>
        <w:jc w:val="both"/>
        <w:rPr>
          <w:sz w:val="22"/>
          <w:szCs w:val="22"/>
        </w:rPr>
      </w:pPr>
      <w:r w:rsidRPr="006C104F">
        <w:rPr>
          <w:sz w:val="22"/>
          <w:szCs w:val="22"/>
        </w:rPr>
        <w:t>4.1</w:t>
      </w:r>
      <w:r w:rsidRPr="006C104F">
        <w:rPr>
          <w:sz w:val="22"/>
          <w:szCs w:val="22"/>
        </w:rPr>
        <w:tab/>
        <w:t xml:space="preserve">The Client shall pay and discharge the </w:t>
      </w:r>
      <w:r w:rsidR="00715D26" w:rsidRPr="006C104F">
        <w:rPr>
          <w:sz w:val="22"/>
          <w:szCs w:val="22"/>
        </w:rPr>
        <w:t>C</w:t>
      </w:r>
      <w:r w:rsidRPr="006C104F">
        <w:rPr>
          <w:sz w:val="22"/>
          <w:szCs w:val="22"/>
        </w:rPr>
        <w:t>harges (plus any applicable VAT) subject to (1) compliance by the Contractor with the provisions of this Contract; (2) the furnishing by the Contractor of a valid invoice/ fee note and such supporting documentation as may be required by the Client from time to time (any Contractor’s pre-printed terms and conditions are hereby disallowed) and (3) the furnishing by the Contractor of a valid Tax Clearance Access Number and Tax Reference Number to facilitate online verification of their tax status by the Client.  The Contractor shall comply with all applicable EU and domestic taxation law and requirements.</w:t>
      </w:r>
    </w:p>
    <w:p w14:paraId="56851A00" w14:textId="5CDC52D5" w:rsidR="00A468CB" w:rsidRPr="006C104F" w:rsidRDefault="00A468CB" w:rsidP="00A468CB">
      <w:pPr>
        <w:spacing w:after="120" w:line="276" w:lineRule="auto"/>
        <w:ind w:left="426" w:hanging="426"/>
        <w:jc w:val="both"/>
        <w:rPr>
          <w:sz w:val="22"/>
          <w:szCs w:val="22"/>
        </w:rPr>
      </w:pPr>
      <w:r w:rsidRPr="006C104F">
        <w:rPr>
          <w:sz w:val="22"/>
          <w:szCs w:val="22"/>
        </w:rPr>
        <w:t xml:space="preserve">4.2 The Charges shall be </w:t>
      </w:r>
    </w:p>
    <w:p w14:paraId="4B43471E" w14:textId="77777777" w:rsidR="00A468CB" w:rsidRPr="006C104F" w:rsidRDefault="00A468CB" w:rsidP="00A468CB">
      <w:pPr>
        <w:pStyle w:val="ListParagraph"/>
        <w:numPr>
          <w:ilvl w:val="0"/>
          <w:numId w:val="18"/>
        </w:numPr>
        <w:spacing w:after="120" w:line="276" w:lineRule="auto"/>
        <w:contextualSpacing/>
        <w:jc w:val="both"/>
        <w:rPr>
          <w:sz w:val="22"/>
          <w:szCs w:val="22"/>
        </w:rPr>
      </w:pPr>
      <w:r w:rsidRPr="006C104F">
        <w:rPr>
          <w:sz w:val="22"/>
          <w:szCs w:val="22"/>
        </w:rPr>
        <w:t xml:space="preserve">calculated based on the prices included in the Tender Proposal. These Charges are not subject to variation for the duration of the </w:t>
      </w:r>
      <w:proofErr w:type="gramStart"/>
      <w:r w:rsidRPr="006C104F">
        <w:rPr>
          <w:sz w:val="22"/>
          <w:szCs w:val="22"/>
        </w:rPr>
        <w:t>Contract;</w:t>
      </w:r>
      <w:proofErr w:type="gramEnd"/>
    </w:p>
    <w:p w14:paraId="6F0C30EC" w14:textId="77777777" w:rsidR="00A468CB" w:rsidRPr="006C104F" w:rsidRDefault="00A468CB" w:rsidP="00A468CB">
      <w:pPr>
        <w:pStyle w:val="ListParagraph"/>
        <w:numPr>
          <w:ilvl w:val="0"/>
          <w:numId w:val="18"/>
        </w:numPr>
        <w:spacing w:after="120" w:line="276" w:lineRule="auto"/>
        <w:contextualSpacing/>
        <w:jc w:val="both"/>
        <w:rPr>
          <w:sz w:val="22"/>
          <w:szCs w:val="22"/>
        </w:rPr>
      </w:pPr>
      <w:r w:rsidRPr="006C104F">
        <w:rPr>
          <w:sz w:val="22"/>
          <w:szCs w:val="22"/>
        </w:rPr>
        <w:lastRenderedPageBreak/>
        <w:t xml:space="preserve">exclusive of any applicable VAT but inclusive of all charges for travel and accommodation and </w:t>
      </w:r>
      <w:proofErr w:type="gramStart"/>
      <w:r w:rsidRPr="006C104F">
        <w:rPr>
          <w:sz w:val="22"/>
          <w:szCs w:val="22"/>
        </w:rPr>
        <w:t>any and all</w:t>
      </w:r>
      <w:proofErr w:type="gramEnd"/>
      <w:r w:rsidRPr="006C104F">
        <w:rPr>
          <w:sz w:val="22"/>
          <w:szCs w:val="22"/>
        </w:rPr>
        <w:t xml:space="preserve"> out of pocket expenses in the case of Services, and any duties, imposts or levies other than VAT.</w:t>
      </w:r>
    </w:p>
    <w:p w14:paraId="41BDC492" w14:textId="77777777" w:rsidR="00A468CB" w:rsidRPr="006C104F" w:rsidRDefault="00A468CB" w:rsidP="00A468CB">
      <w:pPr>
        <w:pStyle w:val="ListParagraph"/>
        <w:spacing w:after="120" w:line="276" w:lineRule="auto"/>
        <w:ind w:left="780"/>
        <w:jc w:val="both"/>
        <w:rPr>
          <w:sz w:val="22"/>
          <w:szCs w:val="22"/>
        </w:rPr>
      </w:pPr>
    </w:p>
    <w:p w14:paraId="282AF22D" w14:textId="398FC088" w:rsidR="00A468CB" w:rsidRPr="006C104F" w:rsidRDefault="00A468CB" w:rsidP="00A468CB">
      <w:pPr>
        <w:pStyle w:val="ListParagraph"/>
        <w:numPr>
          <w:ilvl w:val="1"/>
          <w:numId w:val="22"/>
        </w:numPr>
        <w:spacing w:after="120" w:line="276" w:lineRule="auto"/>
        <w:ind w:left="426" w:hanging="426"/>
        <w:contextualSpacing/>
        <w:jc w:val="both"/>
        <w:rPr>
          <w:sz w:val="22"/>
          <w:szCs w:val="22"/>
        </w:rPr>
      </w:pPr>
      <w:r w:rsidRPr="006C104F">
        <w:rPr>
          <w:sz w:val="22"/>
          <w:szCs w:val="22"/>
        </w:rPr>
        <w:t xml:space="preserve">The Contractor may only invoice the Client following performance </w:t>
      </w:r>
      <w:r w:rsidR="008B5CD6" w:rsidRPr="006C104F">
        <w:rPr>
          <w:sz w:val="22"/>
          <w:szCs w:val="22"/>
        </w:rPr>
        <w:t>o</w:t>
      </w:r>
      <w:r w:rsidR="006C104F" w:rsidRPr="006C104F">
        <w:rPr>
          <w:sz w:val="22"/>
          <w:szCs w:val="22"/>
        </w:rPr>
        <w:t>f the Services</w:t>
      </w:r>
      <w:r w:rsidRPr="006C104F">
        <w:rPr>
          <w:sz w:val="22"/>
          <w:szCs w:val="22"/>
        </w:rPr>
        <w:t xml:space="preserve">. </w:t>
      </w:r>
    </w:p>
    <w:p w14:paraId="129979B9" w14:textId="77777777" w:rsidR="00A468CB" w:rsidRPr="006C104F" w:rsidRDefault="00A468CB" w:rsidP="00A468CB">
      <w:pPr>
        <w:pStyle w:val="ListParagraph"/>
        <w:spacing w:after="120" w:line="276" w:lineRule="auto"/>
        <w:jc w:val="both"/>
        <w:rPr>
          <w:sz w:val="22"/>
          <w:szCs w:val="22"/>
        </w:rPr>
      </w:pPr>
    </w:p>
    <w:p w14:paraId="24DF6BBA" w14:textId="77777777" w:rsidR="00A468CB" w:rsidRPr="006C104F" w:rsidRDefault="00A468CB" w:rsidP="00A468CB">
      <w:pPr>
        <w:pStyle w:val="ListParagraph"/>
        <w:numPr>
          <w:ilvl w:val="1"/>
          <w:numId w:val="22"/>
        </w:numPr>
        <w:spacing w:after="120" w:line="276" w:lineRule="auto"/>
        <w:ind w:left="426" w:hanging="426"/>
        <w:contextualSpacing/>
        <w:jc w:val="both"/>
        <w:rPr>
          <w:sz w:val="22"/>
          <w:szCs w:val="22"/>
        </w:rPr>
      </w:pPr>
      <w:r w:rsidRPr="006C104F">
        <w:rPr>
          <w:sz w:val="22"/>
          <w:szCs w:val="22"/>
        </w:rPr>
        <w:t xml:space="preserve">The Client shall be entitled to deduct from the Charges any amount which is disputed by the Client, pending resolution of such dispute (including related costs and expenses). </w:t>
      </w:r>
    </w:p>
    <w:p w14:paraId="2A3476EB" w14:textId="77777777" w:rsidR="00A468CB" w:rsidRPr="006C104F" w:rsidRDefault="00A468CB" w:rsidP="00A468CB">
      <w:pPr>
        <w:pStyle w:val="ListParagraph"/>
        <w:rPr>
          <w:sz w:val="22"/>
          <w:szCs w:val="22"/>
        </w:rPr>
      </w:pPr>
    </w:p>
    <w:p w14:paraId="39C2DFA0" w14:textId="77777777" w:rsidR="00A468CB" w:rsidRPr="006C104F" w:rsidRDefault="00A468CB" w:rsidP="00A468CB">
      <w:pPr>
        <w:pStyle w:val="ListParagraph"/>
        <w:numPr>
          <w:ilvl w:val="1"/>
          <w:numId w:val="22"/>
        </w:numPr>
        <w:spacing w:after="120" w:line="276" w:lineRule="auto"/>
        <w:ind w:left="426" w:hanging="426"/>
        <w:contextualSpacing/>
        <w:jc w:val="both"/>
        <w:rPr>
          <w:sz w:val="22"/>
          <w:szCs w:val="22"/>
        </w:rPr>
      </w:pPr>
      <w:r w:rsidRPr="006C104F">
        <w:rPr>
          <w:sz w:val="22"/>
          <w:szCs w:val="22"/>
        </w:rPr>
        <w:t>The European Communities (Late Payment in Commercial Transactions) Regulations, 2012 shall apply to all payments. Incorrect invoices will be returned for correction with consequential effects on the due date of payment.</w:t>
      </w:r>
    </w:p>
    <w:p w14:paraId="0409D731" w14:textId="77777777" w:rsidR="00A468CB" w:rsidRPr="006C104F" w:rsidRDefault="00A468CB" w:rsidP="00A468CB">
      <w:pPr>
        <w:pStyle w:val="ListParagraph"/>
        <w:rPr>
          <w:sz w:val="22"/>
          <w:szCs w:val="22"/>
        </w:rPr>
      </w:pPr>
    </w:p>
    <w:p w14:paraId="08913305" w14:textId="77777777" w:rsidR="00A468CB" w:rsidRPr="006C104F" w:rsidRDefault="00A468CB" w:rsidP="00A468CB">
      <w:pPr>
        <w:pStyle w:val="ListParagraph"/>
        <w:numPr>
          <w:ilvl w:val="1"/>
          <w:numId w:val="22"/>
        </w:numPr>
        <w:spacing w:after="120" w:line="276" w:lineRule="auto"/>
        <w:ind w:left="426" w:hanging="426"/>
        <w:contextualSpacing/>
        <w:jc w:val="both"/>
        <w:rPr>
          <w:sz w:val="22"/>
          <w:szCs w:val="22"/>
        </w:rPr>
      </w:pPr>
      <w:r w:rsidRPr="006C104F">
        <w:rPr>
          <w:sz w:val="22"/>
          <w:szCs w:val="22"/>
        </w:rPr>
        <w:t xml:space="preserve">The Charges shall be discharged as provided for in this clause subject to the retention by the Client in accordance with section 523 of the Taxes Consolidation Act 1997 of any Professional Services Withholding Tax payable to the Contractor. </w:t>
      </w:r>
      <w:proofErr w:type="gramStart"/>
      <w:r w:rsidRPr="006C104F">
        <w:rPr>
          <w:sz w:val="22"/>
          <w:szCs w:val="22"/>
        </w:rPr>
        <w:t>Any and all</w:t>
      </w:r>
      <w:proofErr w:type="gramEnd"/>
      <w:r w:rsidRPr="006C104F">
        <w:rPr>
          <w:sz w:val="22"/>
          <w:szCs w:val="22"/>
        </w:rPr>
        <w:t xml:space="preserve"> taxes applicable to the provision of the Services will be the sole responsibility of the Contractor and the Contractor so acknowledges and confirms.</w:t>
      </w:r>
    </w:p>
    <w:p w14:paraId="455EED7B" w14:textId="77777777" w:rsidR="00A468CB" w:rsidRPr="006C104F" w:rsidRDefault="00A468CB" w:rsidP="00A468CB">
      <w:pPr>
        <w:spacing w:after="120" w:line="276" w:lineRule="auto"/>
        <w:ind w:left="720" w:hanging="720"/>
        <w:jc w:val="both"/>
        <w:rPr>
          <w:sz w:val="22"/>
          <w:szCs w:val="22"/>
        </w:rPr>
      </w:pPr>
    </w:p>
    <w:p w14:paraId="65C95708" w14:textId="0CAC091E" w:rsidR="00A468CB" w:rsidRPr="006C104F" w:rsidRDefault="00A468CB" w:rsidP="00A468CB">
      <w:pPr>
        <w:pStyle w:val="ListParagraph"/>
        <w:numPr>
          <w:ilvl w:val="0"/>
          <w:numId w:val="22"/>
        </w:numPr>
        <w:spacing w:after="120" w:line="276" w:lineRule="auto"/>
        <w:contextualSpacing/>
        <w:jc w:val="both"/>
        <w:rPr>
          <w:b/>
          <w:bCs/>
          <w:sz w:val="22"/>
          <w:szCs w:val="22"/>
        </w:rPr>
      </w:pPr>
      <w:r w:rsidRPr="006C104F">
        <w:rPr>
          <w:b/>
          <w:bCs/>
          <w:sz w:val="22"/>
          <w:szCs w:val="22"/>
        </w:rPr>
        <w:t>WARRANTIES</w:t>
      </w:r>
    </w:p>
    <w:p w14:paraId="781CB574" w14:textId="77777777" w:rsidR="00A468CB" w:rsidRPr="006C104F" w:rsidRDefault="00A468CB" w:rsidP="00A468CB">
      <w:pPr>
        <w:pStyle w:val="ListParagraph"/>
        <w:spacing w:after="120" w:line="276" w:lineRule="auto"/>
        <w:jc w:val="both"/>
        <w:rPr>
          <w:b/>
          <w:bCs/>
          <w:sz w:val="22"/>
          <w:szCs w:val="22"/>
        </w:rPr>
      </w:pPr>
    </w:p>
    <w:p w14:paraId="0302F6E9" w14:textId="5B2667EB" w:rsidR="00A468CB" w:rsidRPr="006C104F" w:rsidRDefault="00A468CB" w:rsidP="00F00413">
      <w:pPr>
        <w:spacing w:after="120" w:line="276" w:lineRule="auto"/>
        <w:ind w:left="360" w:hanging="360"/>
        <w:jc w:val="both"/>
        <w:rPr>
          <w:sz w:val="22"/>
          <w:szCs w:val="22"/>
        </w:rPr>
      </w:pPr>
      <w:r w:rsidRPr="006C104F">
        <w:rPr>
          <w:sz w:val="22"/>
          <w:szCs w:val="22"/>
        </w:rPr>
        <w:t>5.1</w:t>
      </w:r>
      <w:r w:rsidRPr="006C104F">
        <w:rPr>
          <w:sz w:val="22"/>
          <w:szCs w:val="22"/>
        </w:rPr>
        <w:tab/>
        <w:t>The Contractor acknowledges, warrants, represents and undertakes that</w:t>
      </w:r>
      <w:r w:rsidR="006C104F">
        <w:rPr>
          <w:sz w:val="22"/>
          <w:szCs w:val="22"/>
        </w:rPr>
        <w:t xml:space="preserve"> </w:t>
      </w:r>
      <w:r w:rsidRPr="006C104F">
        <w:rPr>
          <w:sz w:val="22"/>
          <w:szCs w:val="22"/>
        </w:rPr>
        <w:t xml:space="preserve">it has the authority and </w:t>
      </w:r>
      <w:r w:rsidR="006C104F">
        <w:rPr>
          <w:sz w:val="22"/>
          <w:szCs w:val="22"/>
        </w:rPr>
        <w:t xml:space="preserve">      </w:t>
      </w:r>
      <w:r w:rsidRPr="006C104F">
        <w:rPr>
          <w:sz w:val="22"/>
          <w:szCs w:val="22"/>
        </w:rPr>
        <w:t xml:space="preserve">right under law to </w:t>
      </w:r>
      <w:proofErr w:type="gramStart"/>
      <w:r w:rsidRPr="006C104F">
        <w:rPr>
          <w:sz w:val="22"/>
          <w:szCs w:val="22"/>
        </w:rPr>
        <w:t>enter into</w:t>
      </w:r>
      <w:proofErr w:type="gramEnd"/>
      <w:r w:rsidRPr="006C104F">
        <w:rPr>
          <w:sz w:val="22"/>
          <w:szCs w:val="22"/>
        </w:rPr>
        <w:t>, and to carry out its obligations and responsibilities under this Contract and to provide the Services hereunder.</w:t>
      </w:r>
    </w:p>
    <w:p w14:paraId="23C6EF50" w14:textId="77777777" w:rsidR="00A468CB" w:rsidRPr="006C104F" w:rsidRDefault="00A468CB" w:rsidP="00A468CB">
      <w:pPr>
        <w:pStyle w:val="ListParagraph"/>
        <w:spacing w:after="120" w:line="276" w:lineRule="auto"/>
        <w:jc w:val="both"/>
        <w:rPr>
          <w:sz w:val="22"/>
          <w:szCs w:val="22"/>
        </w:rPr>
      </w:pPr>
    </w:p>
    <w:p w14:paraId="21D7848D" w14:textId="77777777" w:rsidR="00A468CB" w:rsidRPr="006C104F" w:rsidRDefault="00A468CB" w:rsidP="00A468CB">
      <w:pPr>
        <w:pStyle w:val="ListParagraph"/>
        <w:numPr>
          <w:ilvl w:val="0"/>
          <w:numId w:val="22"/>
        </w:numPr>
        <w:spacing w:after="120" w:line="276" w:lineRule="auto"/>
        <w:contextualSpacing/>
        <w:jc w:val="both"/>
        <w:rPr>
          <w:b/>
          <w:bCs/>
          <w:sz w:val="22"/>
          <w:szCs w:val="22"/>
        </w:rPr>
      </w:pPr>
      <w:r w:rsidRPr="006C104F">
        <w:rPr>
          <w:b/>
          <w:bCs/>
          <w:sz w:val="22"/>
          <w:szCs w:val="22"/>
        </w:rPr>
        <w:t>FORCE MAJEURE</w:t>
      </w:r>
    </w:p>
    <w:p w14:paraId="6404CE0E" w14:textId="77777777" w:rsidR="00A468CB" w:rsidRPr="006C104F" w:rsidRDefault="00A468CB" w:rsidP="00A468CB">
      <w:pPr>
        <w:pStyle w:val="ListParagraph"/>
        <w:spacing w:after="120" w:line="276" w:lineRule="auto"/>
        <w:jc w:val="both"/>
        <w:rPr>
          <w:sz w:val="22"/>
          <w:szCs w:val="22"/>
        </w:rPr>
      </w:pPr>
    </w:p>
    <w:p w14:paraId="7641AE9F" w14:textId="77777777" w:rsidR="00A94CA1" w:rsidRDefault="00A468CB" w:rsidP="00A468CB">
      <w:pPr>
        <w:spacing w:after="120" w:line="276" w:lineRule="auto"/>
        <w:ind w:left="426" w:hanging="426"/>
        <w:jc w:val="both"/>
        <w:rPr>
          <w:sz w:val="22"/>
          <w:szCs w:val="22"/>
        </w:rPr>
      </w:pPr>
      <w:r w:rsidRPr="006C104F">
        <w:rPr>
          <w:sz w:val="22"/>
          <w:szCs w:val="22"/>
        </w:rPr>
        <w:t>6.1</w:t>
      </w:r>
      <w:r w:rsidRPr="006C104F">
        <w:rPr>
          <w:sz w:val="22"/>
          <w:szCs w:val="22"/>
        </w:rPr>
        <w:tab/>
        <w:t xml:space="preserve">Neither the Contractor nor the Client shall be liable to the other or be deemed to be in breach of the Contract by reason of any delay in performing, or any failure to perform, any of its obligations in relation to the Services, if the delay or failure was </w:t>
      </w:r>
      <w:proofErr w:type="gramStart"/>
      <w:r w:rsidRPr="006C104F">
        <w:rPr>
          <w:sz w:val="22"/>
          <w:szCs w:val="22"/>
        </w:rPr>
        <w:t>as a result of</w:t>
      </w:r>
      <w:proofErr w:type="gramEnd"/>
      <w:r w:rsidRPr="006C104F">
        <w:rPr>
          <w:sz w:val="22"/>
          <w:szCs w:val="22"/>
        </w:rPr>
        <w:t xml:space="preserve"> any Force Majeure Event.</w:t>
      </w:r>
    </w:p>
    <w:p w14:paraId="0268F5AA" w14:textId="2743FCB0" w:rsidR="00A468CB" w:rsidRPr="006C104F" w:rsidRDefault="00A468CB" w:rsidP="00A468CB">
      <w:pPr>
        <w:spacing w:after="120" w:line="276" w:lineRule="auto"/>
        <w:ind w:left="426" w:hanging="426"/>
        <w:jc w:val="both"/>
        <w:rPr>
          <w:sz w:val="22"/>
          <w:szCs w:val="22"/>
        </w:rPr>
      </w:pPr>
      <w:r w:rsidRPr="006C104F">
        <w:rPr>
          <w:sz w:val="22"/>
          <w:szCs w:val="22"/>
        </w:rPr>
        <w:t>6.2</w:t>
      </w:r>
      <w:r w:rsidRPr="006C104F">
        <w:rPr>
          <w:sz w:val="22"/>
          <w:szCs w:val="22"/>
        </w:rPr>
        <w:tab/>
        <w:t>The affected party shall promptly notify the other Party in writing specifying the nature of the Force Majeure Event, the anticipated delay in the performance of obligations and the action proposed to minimise the impact of the Force Majeure Event. The affected party shall not be liable or have any responsibility of any kind for any loss or damage thereby incurred or suffered by the other Party, provided always that the affected party shall use all reasonable efforts to minimise the effects of the same and shall resume the performance of its obligations as soon as reasonably possible after the removal of the cause.</w:t>
      </w:r>
    </w:p>
    <w:p w14:paraId="0FA51FDA" w14:textId="77777777" w:rsidR="00A468CB" w:rsidRPr="006C104F" w:rsidRDefault="00A468CB" w:rsidP="00A468CB">
      <w:pPr>
        <w:spacing w:after="120" w:line="276" w:lineRule="auto"/>
        <w:ind w:left="426" w:hanging="426"/>
        <w:jc w:val="both"/>
        <w:rPr>
          <w:sz w:val="22"/>
          <w:szCs w:val="22"/>
        </w:rPr>
      </w:pPr>
    </w:p>
    <w:p w14:paraId="4CC39E4D" w14:textId="77777777" w:rsidR="00A468CB" w:rsidRPr="006C104F" w:rsidRDefault="00A468CB" w:rsidP="00A468CB">
      <w:pPr>
        <w:pStyle w:val="ListParagraph"/>
        <w:numPr>
          <w:ilvl w:val="1"/>
          <w:numId w:val="22"/>
        </w:numPr>
        <w:spacing w:after="120" w:line="276" w:lineRule="auto"/>
        <w:ind w:left="426" w:hanging="426"/>
        <w:contextualSpacing/>
        <w:jc w:val="both"/>
        <w:rPr>
          <w:sz w:val="22"/>
          <w:szCs w:val="22"/>
        </w:rPr>
      </w:pPr>
      <w:r w:rsidRPr="006C104F">
        <w:rPr>
          <w:sz w:val="22"/>
          <w:szCs w:val="22"/>
        </w:rPr>
        <w:t>If any delay or failure from a Force Majeure Event continues for more than 10 working days, then either party may terminate the Contract without any further liability to the other party save that which it has already incurred under the Contract prior to termination.</w:t>
      </w:r>
    </w:p>
    <w:p w14:paraId="76351E1F" w14:textId="6ABB9BBD" w:rsidR="00FD619D" w:rsidRDefault="00FD619D">
      <w:pPr>
        <w:spacing w:after="160" w:line="259" w:lineRule="auto"/>
        <w:rPr>
          <w:b/>
          <w:bCs/>
          <w:sz w:val="22"/>
          <w:szCs w:val="22"/>
        </w:rPr>
      </w:pPr>
    </w:p>
    <w:p w14:paraId="26305424" w14:textId="0C7B6DEF" w:rsidR="00A468CB" w:rsidRPr="006C104F" w:rsidRDefault="00A468CB" w:rsidP="00A468CB">
      <w:pPr>
        <w:pStyle w:val="ListParagraph"/>
        <w:numPr>
          <w:ilvl w:val="0"/>
          <w:numId w:val="22"/>
        </w:numPr>
        <w:spacing w:after="120" w:line="276" w:lineRule="auto"/>
        <w:contextualSpacing/>
        <w:jc w:val="both"/>
        <w:rPr>
          <w:b/>
          <w:bCs/>
          <w:sz w:val="22"/>
          <w:szCs w:val="22"/>
        </w:rPr>
      </w:pPr>
      <w:r w:rsidRPr="006C104F">
        <w:rPr>
          <w:b/>
          <w:bCs/>
          <w:sz w:val="22"/>
          <w:szCs w:val="22"/>
        </w:rPr>
        <w:lastRenderedPageBreak/>
        <w:t>CONFIDENTIALITY</w:t>
      </w:r>
    </w:p>
    <w:p w14:paraId="2718A745" w14:textId="77777777" w:rsidR="00A468CB" w:rsidRPr="006C104F" w:rsidRDefault="00A468CB" w:rsidP="00A468CB">
      <w:pPr>
        <w:pStyle w:val="ListParagraph"/>
        <w:spacing w:after="120" w:line="276" w:lineRule="auto"/>
        <w:jc w:val="both"/>
        <w:rPr>
          <w:b/>
          <w:bCs/>
          <w:sz w:val="22"/>
          <w:szCs w:val="22"/>
        </w:rPr>
      </w:pPr>
    </w:p>
    <w:p w14:paraId="77D5D2C3" w14:textId="77777777" w:rsidR="00A468CB" w:rsidRPr="006C104F" w:rsidRDefault="00A468CB" w:rsidP="00A468CB">
      <w:pPr>
        <w:spacing w:after="120" w:line="276" w:lineRule="auto"/>
        <w:ind w:left="426" w:hanging="426"/>
        <w:jc w:val="both"/>
        <w:rPr>
          <w:sz w:val="22"/>
          <w:szCs w:val="22"/>
        </w:rPr>
      </w:pPr>
      <w:r w:rsidRPr="006C104F">
        <w:rPr>
          <w:sz w:val="22"/>
          <w:szCs w:val="22"/>
        </w:rPr>
        <w:t xml:space="preserve">7.1 Each of the Parties to this Contract agrees to hold confidential all information, documentation and other material received, provided or obtained arising from their participation in this Contract (“Confidential Information”) and shall not disclose same to any third party except (1) to its professional advisers subject to the provisions of this clause;  (2) as may be required by law;  (3) as may be necessary to give effect to the terms of this Contract; or (4) in the case of the Client, by request of any person or body or authority whose request the Client or persons associated with the Client (including but not limited to the Legislature and/or the Executive and/or the Civil Service) considers it necessary or appropriate to so comply. </w:t>
      </w:r>
    </w:p>
    <w:p w14:paraId="610374BB" w14:textId="77777777" w:rsidR="00A468CB" w:rsidRPr="006C104F" w:rsidRDefault="00A468CB" w:rsidP="00A468CB">
      <w:pPr>
        <w:spacing w:after="120" w:line="276" w:lineRule="auto"/>
        <w:ind w:left="426" w:hanging="426"/>
        <w:jc w:val="both"/>
        <w:rPr>
          <w:sz w:val="22"/>
          <w:szCs w:val="22"/>
        </w:rPr>
      </w:pPr>
    </w:p>
    <w:p w14:paraId="5CA2075E" w14:textId="77777777" w:rsidR="00A468CB" w:rsidRPr="006C104F" w:rsidRDefault="00A468CB" w:rsidP="00A468CB">
      <w:pPr>
        <w:spacing w:after="120" w:line="276" w:lineRule="auto"/>
        <w:ind w:left="426" w:hanging="426"/>
        <w:jc w:val="both"/>
        <w:rPr>
          <w:sz w:val="22"/>
          <w:szCs w:val="22"/>
        </w:rPr>
      </w:pPr>
      <w:r w:rsidRPr="006C104F">
        <w:rPr>
          <w:sz w:val="22"/>
          <w:szCs w:val="22"/>
        </w:rPr>
        <w:t>7.2</w:t>
      </w:r>
      <w:r w:rsidRPr="006C104F">
        <w:rPr>
          <w:sz w:val="22"/>
          <w:szCs w:val="22"/>
        </w:rPr>
        <w:tab/>
        <w:t>The obligations in this clause will not apply to any confidential information (1) in the receiving Party’s possession (with full right to disclose) before receiving it from the other Party; (2) which is or becomes public knowledge other than by breach of this clause; (3) is independently developed by the disclosing Party without access to or use of the Confidential Information; or (4) is lawfully received by the disclosing Party from a third party (with full right to disclose).</w:t>
      </w:r>
    </w:p>
    <w:p w14:paraId="4F018E65" w14:textId="77777777" w:rsidR="00A468CB" w:rsidRPr="006C104F" w:rsidRDefault="00A468CB" w:rsidP="00A468CB">
      <w:pPr>
        <w:spacing w:after="120" w:line="276" w:lineRule="auto"/>
        <w:ind w:left="720" w:hanging="720"/>
        <w:jc w:val="both"/>
        <w:rPr>
          <w:sz w:val="22"/>
          <w:szCs w:val="22"/>
        </w:rPr>
      </w:pPr>
    </w:p>
    <w:p w14:paraId="09C08C17" w14:textId="77777777" w:rsidR="00A468CB" w:rsidRPr="006C104F" w:rsidRDefault="00A468CB" w:rsidP="00A468CB">
      <w:pPr>
        <w:spacing w:after="120" w:line="276" w:lineRule="auto"/>
        <w:ind w:left="426" w:hanging="426"/>
        <w:jc w:val="both"/>
        <w:rPr>
          <w:sz w:val="22"/>
          <w:szCs w:val="22"/>
        </w:rPr>
      </w:pPr>
      <w:r w:rsidRPr="006C104F">
        <w:rPr>
          <w:sz w:val="22"/>
          <w:szCs w:val="22"/>
        </w:rPr>
        <w:t>7.3</w:t>
      </w:r>
      <w:r w:rsidRPr="006C104F">
        <w:rPr>
          <w:sz w:val="22"/>
          <w:szCs w:val="22"/>
        </w:rPr>
        <w:tab/>
        <w:t xml:space="preserve">In circumstances where the Client is subject to the provisions of the Freedom of Information Act 2014 or the European Communities (Access to Information on the Environment) Regulations 2007 to 2014, then in the event of the Client receiving a request for information related to this Contract, the Client may consult with the Contractor in respect of the request before determining whether the information is exempt from disclosure. </w:t>
      </w:r>
    </w:p>
    <w:p w14:paraId="3ACB0833" w14:textId="77777777" w:rsidR="00A468CB" w:rsidRPr="006C104F" w:rsidRDefault="00A468CB" w:rsidP="00A468CB">
      <w:pPr>
        <w:pStyle w:val="ListParagraph"/>
        <w:numPr>
          <w:ilvl w:val="0"/>
          <w:numId w:val="22"/>
        </w:numPr>
        <w:spacing w:after="120" w:line="276" w:lineRule="auto"/>
        <w:contextualSpacing/>
        <w:jc w:val="both"/>
        <w:rPr>
          <w:b/>
          <w:bCs/>
          <w:sz w:val="22"/>
          <w:szCs w:val="22"/>
        </w:rPr>
      </w:pPr>
      <w:r w:rsidRPr="006C104F">
        <w:rPr>
          <w:b/>
          <w:bCs/>
          <w:sz w:val="22"/>
          <w:szCs w:val="22"/>
        </w:rPr>
        <w:t>PUBLICITY</w:t>
      </w:r>
    </w:p>
    <w:p w14:paraId="1A066F10" w14:textId="77777777" w:rsidR="00A468CB" w:rsidRPr="006C104F" w:rsidRDefault="00A468CB" w:rsidP="00A468CB">
      <w:pPr>
        <w:pStyle w:val="ListParagraph"/>
        <w:spacing w:after="120" w:line="276" w:lineRule="auto"/>
        <w:jc w:val="both"/>
        <w:rPr>
          <w:sz w:val="22"/>
          <w:szCs w:val="22"/>
        </w:rPr>
      </w:pPr>
    </w:p>
    <w:p w14:paraId="03DF66D3" w14:textId="77777777" w:rsidR="00A468CB" w:rsidRPr="006C104F" w:rsidRDefault="00A468CB" w:rsidP="00A468CB">
      <w:pPr>
        <w:spacing w:after="120" w:line="276" w:lineRule="auto"/>
        <w:ind w:left="426" w:hanging="426"/>
        <w:jc w:val="both"/>
        <w:rPr>
          <w:sz w:val="22"/>
          <w:szCs w:val="22"/>
        </w:rPr>
      </w:pPr>
      <w:r w:rsidRPr="006C104F">
        <w:rPr>
          <w:sz w:val="22"/>
          <w:szCs w:val="22"/>
        </w:rPr>
        <w:t>8.1</w:t>
      </w:r>
      <w:r w:rsidRPr="006C104F">
        <w:rPr>
          <w:sz w:val="22"/>
          <w:szCs w:val="22"/>
        </w:rPr>
        <w:tab/>
        <w:t>No media releases, public announcements or public disclosures relating to this Contract or its subject matter, including but not limited to promotional or marketing material, shall be made by the Contractor without the prior written consent of the Client.</w:t>
      </w:r>
    </w:p>
    <w:p w14:paraId="2C784DFF" w14:textId="77777777" w:rsidR="00A468CB" w:rsidRPr="006C104F" w:rsidRDefault="00A468CB" w:rsidP="00A468CB">
      <w:pPr>
        <w:pStyle w:val="ListParagraph"/>
        <w:numPr>
          <w:ilvl w:val="0"/>
          <w:numId w:val="22"/>
        </w:numPr>
        <w:spacing w:after="120" w:line="276" w:lineRule="auto"/>
        <w:contextualSpacing/>
        <w:jc w:val="both"/>
        <w:rPr>
          <w:b/>
          <w:bCs/>
          <w:sz w:val="22"/>
          <w:szCs w:val="22"/>
        </w:rPr>
      </w:pPr>
      <w:r w:rsidRPr="006C104F">
        <w:rPr>
          <w:b/>
          <w:bCs/>
          <w:sz w:val="22"/>
          <w:szCs w:val="22"/>
        </w:rPr>
        <w:t>Severability</w:t>
      </w:r>
    </w:p>
    <w:p w14:paraId="1E5502F6" w14:textId="77777777" w:rsidR="00A468CB" w:rsidRPr="006C104F" w:rsidRDefault="00A468CB" w:rsidP="00A468CB">
      <w:pPr>
        <w:pStyle w:val="ListParagraph"/>
        <w:spacing w:after="120" w:line="276" w:lineRule="auto"/>
        <w:jc w:val="both"/>
        <w:rPr>
          <w:sz w:val="22"/>
          <w:szCs w:val="22"/>
        </w:rPr>
      </w:pPr>
    </w:p>
    <w:p w14:paraId="3E5F4A3E" w14:textId="77777777" w:rsidR="00A468CB" w:rsidRPr="006C104F" w:rsidRDefault="00A468CB" w:rsidP="00A468CB">
      <w:pPr>
        <w:spacing w:after="120" w:line="276" w:lineRule="auto"/>
        <w:ind w:left="720" w:hanging="720"/>
        <w:jc w:val="both"/>
        <w:rPr>
          <w:sz w:val="22"/>
          <w:szCs w:val="22"/>
        </w:rPr>
      </w:pPr>
      <w:r w:rsidRPr="006C104F">
        <w:rPr>
          <w:sz w:val="22"/>
          <w:szCs w:val="22"/>
        </w:rPr>
        <w:t>9.1</w:t>
      </w:r>
      <w:r w:rsidRPr="006C104F">
        <w:rPr>
          <w:sz w:val="22"/>
          <w:szCs w:val="22"/>
        </w:rPr>
        <w:tab/>
        <w:t xml:space="preserve">If any term or provision herein is found to be illegal or unenforceable for any reason, then such term or provision shall be deemed </w:t>
      </w:r>
      <w:proofErr w:type="gramStart"/>
      <w:r w:rsidRPr="006C104F">
        <w:rPr>
          <w:sz w:val="22"/>
          <w:szCs w:val="22"/>
        </w:rPr>
        <w:t>severed</w:t>
      </w:r>
      <w:proofErr w:type="gramEnd"/>
      <w:r w:rsidRPr="006C104F">
        <w:rPr>
          <w:sz w:val="22"/>
          <w:szCs w:val="22"/>
        </w:rPr>
        <w:t xml:space="preserve"> and all other terms and provisions shall remain in full force and effect. </w:t>
      </w:r>
    </w:p>
    <w:p w14:paraId="68B0132C" w14:textId="77777777" w:rsidR="00A468CB" w:rsidRPr="006C104F" w:rsidRDefault="00A468CB" w:rsidP="00A468CB">
      <w:pPr>
        <w:pStyle w:val="ListParagraph"/>
        <w:numPr>
          <w:ilvl w:val="0"/>
          <w:numId w:val="22"/>
        </w:numPr>
        <w:spacing w:after="120" w:line="276" w:lineRule="auto"/>
        <w:contextualSpacing/>
        <w:jc w:val="both"/>
        <w:rPr>
          <w:b/>
          <w:bCs/>
          <w:sz w:val="22"/>
          <w:szCs w:val="22"/>
        </w:rPr>
      </w:pPr>
      <w:r w:rsidRPr="006C104F">
        <w:rPr>
          <w:b/>
          <w:bCs/>
          <w:sz w:val="22"/>
          <w:szCs w:val="22"/>
        </w:rPr>
        <w:t>Non-Exclusivity</w:t>
      </w:r>
    </w:p>
    <w:p w14:paraId="45DC7958" w14:textId="77777777" w:rsidR="00A468CB" w:rsidRPr="006C104F" w:rsidRDefault="00A468CB" w:rsidP="00A468CB">
      <w:pPr>
        <w:pStyle w:val="ListParagraph"/>
        <w:spacing w:after="120" w:line="276" w:lineRule="auto"/>
        <w:jc w:val="both"/>
        <w:rPr>
          <w:sz w:val="22"/>
          <w:szCs w:val="22"/>
        </w:rPr>
      </w:pPr>
    </w:p>
    <w:p w14:paraId="3627F033" w14:textId="77777777" w:rsidR="00A468CB" w:rsidRPr="006C104F" w:rsidRDefault="00A468CB" w:rsidP="00A468CB">
      <w:pPr>
        <w:spacing w:after="120" w:line="276" w:lineRule="auto"/>
        <w:ind w:left="426" w:hanging="426"/>
        <w:jc w:val="both"/>
        <w:rPr>
          <w:sz w:val="22"/>
          <w:szCs w:val="22"/>
        </w:rPr>
      </w:pPr>
      <w:r w:rsidRPr="006C104F">
        <w:rPr>
          <w:sz w:val="22"/>
          <w:szCs w:val="22"/>
        </w:rPr>
        <w:t>10.1</w:t>
      </w:r>
      <w:r w:rsidRPr="006C104F">
        <w:rPr>
          <w:sz w:val="22"/>
          <w:szCs w:val="22"/>
        </w:rPr>
        <w:tab/>
        <w:t>Nothing in this Contract shall preclude the Client from purchasing services (or Services) from a third party at any time during the currency of the Contract.</w:t>
      </w:r>
    </w:p>
    <w:p w14:paraId="35369617" w14:textId="77777777" w:rsidR="00A468CB" w:rsidRPr="006C104F" w:rsidRDefault="00A468CB" w:rsidP="006C104F">
      <w:pPr>
        <w:spacing w:after="120" w:line="276" w:lineRule="auto"/>
        <w:jc w:val="both"/>
        <w:rPr>
          <w:sz w:val="22"/>
          <w:szCs w:val="22"/>
        </w:rPr>
      </w:pPr>
    </w:p>
    <w:p w14:paraId="097FBC58" w14:textId="77777777" w:rsidR="00A468CB" w:rsidRPr="006C104F" w:rsidRDefault="00A468CB" w:rsidP="00A468CB">
      <w:pPr>
        <w:pStyle w:val="ListParagraph"/>
        <w:numPr>
          <w:ilvl w:val="0"/>
          <w:numId w:val="22"/>
        </w:numPr>
        <w:spacing w:after="120" w:line="276" w:lineRule="auto"/>
        <w:contextualSpacing/>
        <w:jc w:val="both"/>
        <w:rPr>
          <w:b/>
          <w:bCs/>
          <w:sz w:val="22"/>
          <w:szCs w:val="22"/>
        </w:rPr>
      </w:pPr>
      <w:r w:rsidRPr="006C104F">
        <w:rPr>
          <w:b/>
          <w:bCs/>
          <w:sz w:val="22"/>
          <w:szCs w:val="22"/>
        </w:rPr>
        <w:t>TERMINATION</w:t>
      </w:r>
    </w:p>
    <w:p w14:paraId="04693D89" w14:textId="77777777" w:rsidR="00A468CB" w:rsidRPr="006C104F" w:rsidRDefault="00A468CB" w:rsidP="00A468CB">
      <w:pPr>
        <w:pStyle w:val="ListParagraph"/>
        <w:spacing w:after="120" w:line="276" w:lineRule="auto"/>
        <w:jc w:val="both"/>
        <w:rPr>
          <w:sz w:val="22"/>
          <w:szCs w:val="22"/>
        </w:rPr>
      </w:pPr>
    </w:p>
    <w:p w14:paraId="546A61C6" w14:textId="76C37BCD" w:rsidR="00A468CB" w:rsidRPr="006C104F" w:rsidRDefault="00A468CB" w:rsidP="00A468CB">
      <w:pPr>
        <w:spacing w:after="120" w:line="276" w:lineRule="auto"/>
        <w:ind w:left="426" w:hanging="426"/>
        <w:jc w:val="both"/>
        <w:rPr>
          <w:sz w:val="22"/>
          <w:szCs w:val="22"/>
        </w:rPr>
      </w:pPr>
      <w:r w:rsidRPr="006C104F">
        <w:rPr>
          <w:sz w:val="22"/>
          <w:szCs w:val="22"/>
        </w:rPr>
        <w:t>1</w:t>
      </w:r>
      <w:r w:rsidR="00F00413">
        <w:rPr>
          <w:sz w:val="22"/>
          <w:szCs w:val="22"/>
        </w:rPr>
        <w:t>1</w:t>
      </w:r>
      <w:r w:rsidRPr="006C104F">
        <w:rPr>
          <w:sz w:val="22"/>
          <w:szCs w:val="22"/>
        </w:rPr>
        <w:t>.1</w:t>
      </w:r>
      <w:r w:rsidRPr="006C104F">
        <w:rPr>
          <w:sz w:val="22"/>
          <w:szCs w:val="22"/>
        </w:rPr>
        <w:tab/>
        <w:t xml:space="preserve">The Client may terminate the Contract without liability for compensation or damages if the Contractor fails to perform any of its obligations under the Contract and such failure continues for a period of </w:t>
      </w:r>
      <w:r w:rsidR="005A067C" w:rsidRPr="006C104F">
        <w:rPr>
          <w:sz w:val="22"/>
          <w:szCs w:val="22"/>
        </w:rPr>
        <w:t>14 days</w:t>
      </w:r>
      <w:r w:rsidRPr="006C104F">
        <w:rPr>
          <w:sz w:val="22"/>
          <w:szCs w:val="22"/>
        </w:rPr>
        <w:t xml:space="preserve"> after written notice thereof is provided by the Client to the Contractor.</w:t>
      </w:r>
    </w:p>
    <w:p w14:paraId="1035BAD4" w14:textId="77777777" w:rsidR="00A468CB" w:rsidRPr="006C104F" w:rsidRDefault="00A468CB" w:rsidP="00A468CB">
      <w:pPr>
        <w:spacing w:after="120" w:line="276" w:lineRule="auto"/>
        <w:ind w:left="426" w:hanging="426"/>
        <w:jc w:val="both"/>
        <w:rPr>
          <w:sz w:val="22"/>
          <w:szCs w:val="22"/>
        </w:rPr>
      </w:pPr>
    </w:p>
    <w:p w14:paraId="784D1EF2" w14:textId="44715684" w:rsidR="00A468CB" w:rsidRPr="006C104F" w:rsidRDefault="00A468CB" w:rsidP="00F64961">
      <w:pPr>
        <w:spacing w:after="120" w:line="276" w:lineRule="auto"/>
        <w:ind w:left="426" w:hanging="426"/>
        <w:jc w:val="both"/>
        <w:rPr>
          <w:sz w:val="22"/>
          <w:szCs w:val="22"/>
        </w:rPr>
      </w:pPr>
      <w:r w:rsidRPr="006C104F">
        <w:rPr>
          <w:sz w:val="22"/>
          <w:szCs w:val="22"/>
        </w:rPr>
        <w:t>1</w:t>
      </w:r>
      <w:r w:rsidR="00F00413">
        <w:rPr>
          <w:sz w:val="22"/>
          <w:szCs w:val="22"/>
        </w:rPr>
        <w:t>1</w:t>
      </w:r>
      <w:r w:rsidRPr="006C104F">
        <w:rPr>
          <w:sz w:val="22"/>
          <w:szCs w:val="22"/>
        </w:rPr>
        <w:t>.2</w:t>
      </w:r>
      <w:r w:rsidRPr="006C104F">
        <w:rPr>
          <w:sz w:val="22"/>
          <w:szCs w:val="22"/>
        </w:rPr>
        <w:tab/>
        <w:t xml:space="preserve">The Client shall have the right to terminate the Contract immediately without liability for compensation or damages if (1) the Contractor becomes (or, in the reasonable opinion of the Client, is at serious risk of becoming) insolvent, bankrupt, enters into examinership, is wound up, commences winding up, has a receiving order made against it, makes any arrangement with its creditors generally or takes or suffers any similar action as a result of debt, or an event having an equivalent effect; (2) in circumstances where the Client becomes aware of any conflict of interest on the part of the Contractor which cannot, in the opinion of the Client, be removed by other means; (3)  or in circumstances where the Client becomes aware of any registrable interest on the part of the Contractor or </w:t>
      </w:r>
      <w:r w:rsidR="00F64961" w:rsidRPr="006C104F">
        <w:rPr>
          <w:sz w:val="22"/>
          <w:szCs w:val="22"/>
        </w:rPr>
        <w:t xml:space="preserve">(4) </w:t>
      </w:r>
      <w:r w:rsidRPr="006C104F">
        <w:rPr>
          <w:sz w:val="22"/>
          <w:szCs w:val="22"/>
        </w:rPr>
        <w:t xml:space="preserve">where the Contractor has failed to improve its performance on foot of a request from the Client in the manner set out in the </w:t>
      </w:r>
      <w:r w:rsidR="00F64961" w:rsidRPr="006C104F">
        <w:rPr>
          <w:sz w:val="22"/>
          <w:szCs w:val="22"/>
        </w:rPr>
        <w:t>RFQ</w:t>
      </w:r>
      <w:r w:rsidRPr="006C104F">
        <w:rPr>
          <w:sz w:val="22"/>
          <w:szCs w:val="22"/>
        </w:rPr>
        <w:t>.</w:t>
      </w:r>
    </w:p>
    <w:p w14:paraId="41A91224" w14:textId="77777777" w:rsidR="00A468CB" w:rsidRPr="006C104F" w:rsidRDefault="00A468CB" w:rsidP="00A468CB">
      <w:pPr>
        <w:spacing w:after="120" w:line="276" w:lineRule="auto"/>
        <w:ind w:left="426" w:hanging="426"/>
        <w:jc w:val="both"/>
        <w:rPr>
          <w:sz w:val="22"/>
          <w:szCs w:val="22"/>
        </w:rPr>
      </w:pPr>
    </w:p>
    <w:p w14:paraId="0E29BC08" w14:textId="2C25F2AB" w:rsidR="00A468CB" w:rsidRPr="006C104F" w:rsidRDefault="00A468CB" w:rsidP="00A468CB">
      <w:pPr>
        <w:pStyle w:val="ListParagraph"/>
        <w:numPr>
          <w:ilvl w:val="1"/>
          <w:numId w:val="22"/>
        </w:numPr>
        <w:spacing w:after="120" w:line="276" w:lineRule="auto"/>
        <w:ind w:left="426" w:hanging="426"/>
        <w:contextualSpacing/>
        <w:jc w:val="both"/>
        <w:rPr>
          <w:sz w:val="22"/>
          <w:szCs w:val="22"/>
        </w:rPr>
      </w:pPr>
      <w:r w:rsidRPr="006C104F">
        <w:rPr>
          <w:sz w:val="22"/>
          <w:szCs w:val="22"/>
        </w:rPr>
        <w:t xml:space="preserve">Without prejudice to any other provisions of these terms and Conditions, the Client may terminate the Contract at any time by serving </w:t>
      </w:r>
      <w:proofErr w:type="gramStart"/>
      <w:r w:rsidR="005A067C" w:rsidRPr="006C104F">
        <w:rPr>
          <w:sz w:val="22"/>
          <w:szCs w:val="22"/>
        </w:rPr>
        <w:t xml:space="preserve">14 </w:t>
      </w:r>
      <w:r w:rsidRPr="006C104F">
        <w:rPr>
          <w:sz w:val="22"/>
          <w:szCs w:val="22"/>
        </w:rPr>
        <w:t xml:space="preserve"> days</w:t>
      </w:r>
      <w:proofErr w:type="gramEnd"/>
      <w:r w:rsidRPr="006C104F">
        <w:rPr>
          <w:sz w:val="22"/>
          <w:szCs w:val="22"/>
        </w:rPr>
        <w:t xml:space="preserve">’ written notice to the Contractor.  If the Client terminates the Contract under this clause, the </w:t>
      </w:r>
      <w:proofErr w:type="gramStart"/>
      <w:r w:rsidRPr="006C104F">
        <w:rPr>
          <w:sz w:val="22"/>
          <w:szCs w:val="22"/>
        </w:rPr>
        <w:t>Client  will</w:t>
      </w:r>
      <w:proofErr w:type="gramEnd"/>
      <w:r w:rsidRPr="006C104F">
        <w:rPr>
          <w:sz w:val="22"/>
          <w:szCs w:val="22"/>
        </w:rPr>
        <w:t xml:space="preserve"> pay the Contractor on a proportional basis for any Services performed up to and including the effective date of termination where such Services have not previously been paid for.  Such payment shall be in full and final settlement of the Client’s liability under the Contract in relation to the payment for Services.</w:t>
      </w:r>
    </w:p>
    <w:p w14:paraId="721F4749" w14:textId="77777777" w:rsidR="00A468CB" w:rsidRPr="006C104F" w:rsidRDefault="00A468CB" w:rsidP="00A468CB">
      <w:pPr>
        <w:rPr>
          <w:sz w:val="22"/>
          <w:szCs w:val="22"/>
        </w:rPr>
      </w:pPr>
    </w:p>
    <w:p w14:paraId="34FEA731" w14:textId="4B10E749" w:rsidR="00A468CB" w:rsidRPr="006C104F" w:rsidRDefault="00A468CB" w:rsidP="00A468CB">
      <w:pPr>
        <w:spacing w:after="120" w:line="276" w:lineRule="auto"/>
        <w:ind w:left="426" w:hanging="426"/>
        <w:jc w:val="both"/>
        <w:rPr>
          <w:sz w:val="22"/>
          <w:szCs w:val="22"/>
        </w:rPr>
      </w:pPr>
      <w:r w:rsidRPr="006C104F">
        <w:rPr>
          <w:sz w:val="22"/>
          <w:szCs w:val="22"/>
        </w:rPr>
        <w:t>1</w:t>
      </w:r>
      <w:r w:rsidR="00F00413">
        <w:rPr>
          <w:sz w:val="22"/>
          <w:szCs w:val="22"/>
        </w:rPr>
        <w:t>1</w:t>
      </w:r>
      <w:r w:rsidRPr="006C104F">
        <w:rPr>
          <w:sz w:val="22"/>
          <w:szCs w:val="22"/>
        </w:rPr>
        <w:t>.4</w:t>
      </w:r>
      <w:r w:rsidRPr="006C104F">
        <w:rPr>
          <w:sz w:val="22"/>
          <w:szCs w:val="22"/>
        </w:rPr>
        <w:tab/>
        <w:t>Termination of the Contract, however it arises, shall not affect or prejudice the accrued rights of the parties as at termination or the continuation of any provision expressly stated to survive, or implicitly surviving, termination.</w:t>
      </w:r>
    </w:p>
    <w:p w14:paraId="2860DD64" w14:textId="77777777" w:rsidR="00A468CB" w:rsidRPr="006C104F" w:rsidRDefault="00A468CB" w:rsidP="00A468CB">
      <w:pPr>
        <w:spacing w:after="120" w:line="276" w:lineRule="auto"/>
        <w:jc w:val="both"/>
        <w:rPr>
          <w:sz w:val="22"/>
          <w:szCs w:val="22"/>
        </w:rPr>
      </w:pPr>
    </w:p>
    <w:p w14:paraId="271A0FF5" w14:textId="77777777" w:rsidR="00A468CB" w:rsidRPr="006C104F" w:rsidRDefault="00A468CB" w:rsidP="00A468CB">
      <w:pPr>
        <w:pStyle w:val="ListParagraph"/>
        <w:numPr>
          <w:ilvl w:val="0"/>
          <w:numId w:val="22"/>
        </w:numPr>
        <w:spacing w:after="120" w:line="276" w:lineRule="auto"/>
        <w:contextualSpacing/>
        <w:jc w:val="both"/>
        <w:rPr>
          <w:b/>
          <w:bCs/>
          <w:sz w:val="22"/>
          <w:szCs w:val="22"/>
        </w:rPr>
      </w:pPr>
      <w:r w:rsidRPr="006C104F">
        <w:rPr>
          <w:b/>
          <w:bCs/>
          <w:sz w:val="22"/>
          <w:szCs w:val="22"/>
        </w:rPr>
        <w:t>LIABILITY</w:t>
      </w:r>
    </w:p>
    <w:p w14:paraId="2DE3008C" w14:textId="77777777" w:rsidR="00A468CB" w:rsidRPr="006C104F" w:rsidRDefault="00A468CB" w:rsidP="00A468CB">
      <w:pPr>
        <w:pStyle w:val="ListParagraph"/>
        <w:spacing w:after="120" w:line="276" w:lineRule="auto"/>
        <w:jc w:val="both"/>
        <w:rPr>
          <w:sz w:val="22"/>
          <w:szCs w:val="22"/>
        </w:rPr>
      </w:pPr>
    </w:p>
    <w:p w14:paraId="7898CCD4" w14:textId="6285B37C" w:rsidR="00A468CB" w:rsidRPr="006C104F" w:rsidRDefault="00A468CB" w:rsidP="00A468CB">
      <w:pPr>
        <w:spacing w:after="120" w:line="276" w:lineRule="auto"/>
        <w:ind w:left="426" w:hanging="426"/>
        <w:jc w:val="both"/>
        <w:rPr>
          <w:sz w:val="22"/>
          <w:szCs w:val="22"/>
        </w:rPr>
      </w:pPr>
      <w:r w:rsidRPr="006C104F">
        <w:rPr>
          <w:sz w:val="22"/>
          <w:szCs w:val="22"/>
        </w:rPr>
        <w:t>1</w:t>
      </w:r>
      <w:r w:rsidR="00F00413">
        <w:rPr>
          <w:sz w:val="22"/>
          <w:szCs w:val="22"/>
        </w:rPr>
        <w:t>2</w:t>
      </w:r>
      <w:r w:rsidRPr="006C104F">
        <w:rPr>
          <w:sz w:val="22"/>
          <w:szCs w:val="22"/>
        </w:rPr>
        <w:t>.1</w:t>
      </w:r>
      <w:r w:rsidRPr="006C104F">
        <w:rPr>
          <w:sz w:val="22"/>
          <w:szCs w:val="22"/>
        </w:rPr>
        <w:tab/>
        <w:t xml:space="preserve">Nothing in these terms and conditions shall limit or exclude either party’s liability for death or personal injury caused by its negligence, or the negligence of its employees, agents applicable), for fraud or fraudulent misrepresentation or for any other matter in respect of which it would be unlawful for that party to exclude or restrict liability. </w:t>
      </w:r>
    </w:p>
    <w:p w14:paraId="18F6D648" w14:textId="77777777" w:rsidR="00A468CB" w:rsidRPr="006C104F" w:rsidRDefault="00A468CB" w:rsidP="00A468CB">
      <w:pPr>
        <w:spacing w:after="120" w:line="276" w:lineRule="auto"/>
        <w:ind w:left="426" w:hanging="426"/>
        <w:jc w:val="both"/>
        <w:rPr>
          <w:sz w:val="22"/>
          <w:szCs w:val="22"/>
        </w:rPr>
      </w:pPr>
    </w:p>
    <w:p w14:paraId="508745F9" w14:textId="3E437F54" w:rsidR="00A468CB" w:rsidRPr="006C104F" w:rsidRDefault="00A468CB" w:rsidP="00A468CB">
      <w:pPr>
        <w:spacing w:after="120" w:line="276" w:lineRule="auto"/>
        <w:ind w:left="426" w:hanging="426"/>
        <w:jc w:val="both"/>
        <w:rPr>
          <w:color w:val="000000" w:themeColor="text1"/>
          <w:sz w:val="22"/>
          <w:szCs w:val="22"/>
        </w:rPr>
      </w:pPr>
      <w:r w:rsidRPr="006C104F">
        <w:rPr>
          <w:sz w:val="22"/>
          <w:szCs w:val="22"/>
        </w:rPr>
        <w:t>1</w:t>
      </w:r>
      <w:r w:rsidR="00F00413">
        <w:rPr>
          <w:sz w:val="22"/>
          <w:szCs w:val="22"/>
        </w:rPr>
        <w:t>2</w:t>
      </w:r>
      <w:r w:rsidRPr="006C104F">
        <w:rPr>
          <w:sz w:val="22"/>
          <w:szCs w:val="22"/>
        </w:rPr>
        <w:t>.2</w:t>
      </w:r>
      <w:r w:rsidRPr="006C104F">
        <w:rPr>
          <w:sz w:val="22"/>
          <w:szCs w:val="22"/>
        </w:rPr>
        <w:tab/>
        <w:t xml:space="preserve">The Contractor shall be liable for and shall indemnify the Client for and in respect of all and any losses, claims, demands, damages or expenses which the Client may suffer due to and arising directly as a result of the negligence, act or omission, breach of contract, breach of duty, insolvency, recklessness, bad faith, wilful default or fraud of the Contractor, its employees, or agents or any of them or as a result of the Contractor’s failure to exercise skill, care and diligence as </w:t>
      </w:r>
      <w:r w:rsidRPr="006C104F">
        <w:rPr>
          <w:color w:val="000000" w:themeColor="text1"/>
          <w:sz w:val="22"/>
          <w:szCs w:val="22"/>
        </w:rPr>
        <w:t>outlined in clause 13.1 The terms of this clause shall survive termination of this Contract for any reason.</w:t>
      </w:r>
    </w:p>
    <w:p w14:paraId="709435AC" w14:textId="77777777" w:rsidR="00A468CB" w:rsidRPr="006C104F" w:rsidRDefault="00A468CB" w:rsidP="00A468CB">
      <w:pPr>
        <w:spacing w:after="120" w:line="276" w:lineRule="auto"/>
        <w:ind w:left="720" w:hanging="720"/>
        <w:jc w:val="both"/>
        <w:rPr>
          <w:sz w:val="22"/>
          <w:szCs w:val="22"/>
        </w:rPr>
      </w:pPr>
    </w:p>
    <w:p w14:paraId="00DC0DFC" w14:textId="3E7886D8" w:rsidR="00A468CB" w:rsidRPr="006C104F" w:rsidRDefault="00A468CB" w:rsidP="00A468CB">
      <w:pPr>
        <w:spacing w:after="120" w:line="276" w:lineRule="auto"/>
        <w:ind w:left="426" w:hanging="426"/>
        <w:jc w:val="both"/>
        <w:rPr>
          <w:sz w:val="22"/>
          <w:szCs w:val="22"/>
        </w:rPr>
      </w:pPr>
      <w:r w:rsidRPr="006C104F">
        <w:rPr>
          <w:sz w:val="22"/>
          <w:szCs w:val="22"/>
        </w:rPr>
        <w:t>1</w:t>
      </w:r>
      <w:r w:rsidR="00F00413">
        <w:rPr>
          <w:sz w:val="22"/>
          <w:szCs w:val="22"/>
        </w:rPr>
        <w:t>2</w:t>
      </w:r>
      <w:r w:rsidRPr="006C104F">
        <w:rPr>
          <w:sz w:val="22"/>
          <w:szCs w:val="22"/>
        </w:rPr>
        <w:t>.3</w:t>
      </w:r>
      <w:r w:rsidRPr="006C104F">
        <w:rPr>
          <w:sz w:val="22"/>
          <w:szCs w:val="22"/>
        </w:rPr>
        <w:tab/>
        <w:t xml:space="preserve">The Client’s liability under the Contract is limited to the Charges paid or to be paid for such Services.  </w:t>
      </w:r>
    </w:p>
    <w:p w14:paraId="151131D3" w14:textId="77777777" w:rsidR="00A468CB" w:rsidRPr="006C104F" w:rsidRDefault="00A468CB" w:rsidP="00A468CB">
      <w:pPr>
        <w:spacing w:after="120" w:line="276" w:lineRule="auto"/>
        <w:ind w:left="720" w:hanging="720"/>
        <w:jc w:val="both"/>
        <w:rPr>
          <w:sz w:val="22"/>
          <w:szCs w:val="22"/>
        </w:rPr>
      </w:pPr>
    </w:p>
    <w:p w14:paraId="4FB124C0" w14:textId="30D9D154" w:rsidR="00A468CB" w:rsidRPr="006C104F" w:rsidRDefault="00A468CB" w:rsidP="00A468CB">
      <w:pPr>
        <w:spacing w:after="120" w:line="276" w:lineRule="auto"/>
        <w:ind w:left="426" w:hanging="426"/>
        <w:jc w:val="both"/>
        <w:rPr>
          <w:sz w:val="22"/>
          <w:szCs w:val="22"/>
        </w:rPr>
      </w:pPr>
      <w:r w:rsidRPr="006C104F">
        <w:rPr>
          <w:sz w:val="22"/>
          <w:szCs w:val="22"/>
        </w:rPr>
        <w:lastRenderedPageBreak/>
        <w:t>1</w:t>
      </w:r>
      <w:r w:rsidR="00F00413">
        <w:rPr>
          <w:sz w:val="22"/>
          <w:szCs w:val="22"/>
        </w:rPr>
        <w:t>2</w:t>
      </w:r>
      <w:r w:rsidRPr="006C104F">
        <w:rPr>
          <w:sz w:val="22"/>
          <w:szCs w:val="22"/>
        </w:rPr>
        <w:t>.4</w:t>
      </w:r>
      <w:r w:rsidRPr="006C104F">
        <w:rPr>
          <w:sz w:val="22"/>
          <w:szCs w:val="22"/>
        </w:rPr>
        <w:tab/>
        <w:t>Except as otherwise expressly provided by this Contract, all remedies available to either Party for breach of this Contract are cumulative and may be exercised concurrently or separately, and the exercise of any one remedy shall not be deemed an election of such remedy to the exclusion of other remedies.</w:t>
      </w:r>
    </w:p>
    <w:p w14:paraId="59DBA876" w14:textId="77777777" w:rsidR="00A468CB" w:rsidRPr="006C104F" w:rsidRDefault="00A468CB" w:rsidP="00A468CB">
      <w:pPr>
        <w:spacing w:after="120" w:line="276" w:lineRule="auto"/>
        <w:ind w:left="426" w:hanging="426"/>
        <w:jc w:val="both"/>
        <w:rPr>
          <w:sz w:val="22"/>
          <w:szCs w:val="22"/>
        </w:rPr>
      </w:pPr>
    </w:p>
    <w:p w14:paraId="5ADA9CC5" w14:textId="77777777" w:rsidR="00A468CB" w:rsidRPr="006C104F" w:rsidRDefault="00A468CB" w:rsidP="00A468CB">
      <w:pPr>
        <w:pStyle w:val="ListParagraph"/>
        <w:numPr>
          <w:ilvl w:val="0"/>
          <w:numId w:val="22"/>
        </w:numPr>
        <w:spacing w:after="120" w:line="276" w:lineRule="auto"/>
        <w:contextualSpacing/>
        <w:jc w:val="both"/>
        <w:rPr>
          <w:b/>
          <w:bCs/>
          <w:sz w:val="22"/>
          <w:szCs w:val="22"/>
        </w:rPr>
      </w:pPr>
      <w:r w:rsidRPr="006C104F">
        <w:rPr>
          <w:b/>
          <w:bCs/>
          <w:sz w:val="22"/>
          <w:szCs w:val="22"/>
        </w:rPr>
        <w:t>WAIVER</w:t>
      </w:r>
    </w:p>
    <w:p w14:paraId="0FBD0C9C" w14:textId="77777777" w:rsidR="00A468CB" w:rsidRPr="006C104F" w:rsidRDefault="00A468CB" w:rsidP="00A468CB">
      <w:pPr>
        <w:pStyle w:val="ListParagraph"/>
        <w:spacing w:after="120" w:line="276" w:lineRule="auto"/>
        <w:jc w:val="both"/>
        <w:rPr>
          <w:sz w:val="22"/>
          <w:szCs w:val="22"/>
        </w:rPr>
      </w:pPr>
    </w:p>
    <w:p w14:paraId="62996462" w14:textId="2F405A95" w:rsidR="00A468CB" w:rsidRPr="006C104F" w:rsidRDefault="00A468CB" w:rsidP="00A468CB">
      <w:pPr>
        <w:spacing w:after="120" w:line="276" w:lineRule="auto"/>
        <w:ind w:left="426" w:hanging="426"/>
        <w:jc w:val="both"/>
        <w:rPr>
          <w:sz w:val="22"/>
          <w:szCs w:val="22"/>
        </w:rPr>
      </w:pPr>
      <w:r w:rsidRPr="006C104F">
        <w:rPr>
          <w:sz w:val="22"/>
          <w:szCs w:val="22"/>
        </w:rPr>
        <w:t>1</w:t>
      </w:r>
      <w:r w:rsidR="00F00413">
        <w:rPr>
          <w:sz w:val="22"/>
          <w:szCs w:val="22"/>
        </w:rPr>
        <w:t>3</w:t>
      </w:r>
      <w:r w:rsidRPr="006C104F">
        <w:rPr>
          <w:sz w:val="22"/>
          <w:szCs w:val="22"/>
        </w:rPr>
        <w:t>.1 No failure or delay by either Party to exercise any right, power or remedy shall operate as a waiver of it, nor shall any partial exercise preclude further exercise of same or some other right, power or remedy.</w:t>
      </w:r>
    </w:p>
    <w:p w14:paraId="31ACE7C8" w14:textId="77777777" w:rsidR="00A468CB" w:rsidRPr="006C104F" w:rsidRDefault="00A468CB" w:rsidP="00A468CB">
      <w:pPr>
        <w:spacing w:after="120" w:line="276" w:lineRule="auto"/>
        <w:ind w:left="720" w:hanging="720"/>
        <w:jc w:val="both"/>
        <w:rPr>
          <w:sz w:val="22"/>
          <w:szCs w:val="22"/>
        </w:rPr>
      </w:pPr>
    </w:p>
    <w:p w14:paraId="5144B7E0" w14:textId="7A4F63C8" w:rsidR="00A468CB" w:rsidRPr="006C104F" w:rsidRDefault="00A468CB" w:rsidP="00A468CB">
      <w:pPr>
        <w:pStyle w:val="ListParagraph"/>
        <w:numPr>
          <w:ilvl w:val="0"/>
          <w:numId w:val="22"/>
        </w:numPr>
        <w:spacing w:after="120" w:line="276" w:lineRule="auto"/>
        <w:contextualSpacing/>
        <w:jc w:val="both"/>
        <w:rPr>
          <w:b/>
          <w:bCs/>
          <w:sz w:val="22"/>
          <w:szCs w:val="22"/>
        </w:rPr>
      </w:pPr>
      <w:r w:rsidRPr="006C104F">
        <w:rPr>
          <w:b/>
          <w:bCs/>
          <w:sz w:val="22"/>
          <w:szCs w:val="22"/>
        </w:rPr>
        <w:t>CONFLICT OF INTEREST, REGISTRABLE INTEREST &amp; CORRUPTION</w:t>
      </w:r>
    </w:p>
    <w:p w14:paraId="544EEC82" w14:textId="77777777" w:rsidR="00A468CB" w:rsidRPr="006C104F" w:rsidRDefault="00A468CB" w:rsidP="00A468CB">
      <w:pPr>
        <w:pStyle w:val="ListParagraph"/>
        <w:spacing w:after="120" w:line="276" w:lineRule="auto"/>
        <w:jc w:val="both"/>
        <w:rPr>
          <w:sz w:val="22"/>
          <w:szCs w:val="22"/>
        </w:rPr>
      </w:pPr>
    </w:p>
    <w:p w14:paraId="72D412C9" w14:textId="52DFE284" w:rsidR="00A468CB" w:rsidRPr="006C104F" w:rsidRDefault="00A468CB" w:rsidP="00A468CB">
      <w:pPr>
        <w:spacing w:after="120" w:line="276" w:lineRule="auto"/>
        <w:ind w:left="426" w:hanging="426"/>
        <w:jc w:val="both"/>
        <w:rPr>
          <w:sz w:val="22"/>
          <w:szCs w:val="22"/>
        </w:rPr>
      </w:pPr>
      <w:r w:rsidRPr="006C104F">
        <w:rPr>
          <w:sz w:val="22"/>
          <w:szCs w:val="22"/>
        </w:rPr>
        <w:t>1</w:t>
      </w:r>
      <w:r w:rsidR="00F00413">
        <w:rPr>
          <w:sz w:val="22"/>
          <w:szCs w:val="22"/>
        </w:rPr>
        <w:t>4</w:t>
      </w:r>
      <w:r w:rsidRPr="006C104F">
        <w:rPr>
          <w:sz w:val="22"/>
          <w:szCs w:val="22"/>
        </w:rPr>
        <w:t>.1</w:t>
      </w:r>
      <w:r w:rsidRPr="006C104F">
        <w:rPr>
          <w:sz w:val="22"/>
          <w:szCs w:val="22"/>
        </w:rPr>
        <w:tab/>
        <w:t xml:space="preserve"> The Contractor confirms that it has carried out a conflicts of interest check and is satisfied that neither it nor any agent as the case may </w:t>
      </w:r>
      <w:proofErr w:type="gramStart"/>
      <w:r w:rsidRPr="006C104F">
        <w:rPr>
          <w:sz w:val="22"/>
          <w:szCs w:val="22"/>
        </w:rPr>
        <w:t>be has</w:t>
      </w:r>
      <w:proofErr w:type="gramEnd"/>
      <w:r w:rsidRPr="006C104F">
        <w:rPr>
          <w:sz w:val="22"/>
          <w:szCs w:val="22"/>
        </w:rPr>
        <w:t xml:space="preserve"> any conflicts in relation to the Services and its obligations undertaken under this Contract. The Contractor hereby undertakes to notify the Client immediately should any conflict or potential conflict of interest come to its attention during the currency of this Contract and to comply with the Client’s directions in respect thereof.  In the event of such notification, the Client shall have the right (in addition to any other rights which it has at law) to terminate this Contract immediately and without liability for compensation or damages.</w:t>
      </w:r>
    </w:p>
    <w:p w14:paraId="4CE1A7DF" w14:textId="77777777" w:rsidR="00A468CB" w:rsidRPr="006C104F" w:rsidRDefault="00A468CB" w:rsidP="00A468CB">
      <w:pPr>
        <w:spacing w:after="120" w:line="276" w:lineRule="auto"/>
        <w:ind w:left="426" w:hanging="426"/>
        <w:jc w:val="both"/>
        <w:rPr>
          <w:sz w:val="22"/>
          <w:szCs w:val="22"/>
        </w:rPr>
      </w:pPr>
    </w:p>
    <w:p w14:paraId="07F203C9" w14:textId="7201BA5E" w:rsidR="00A468CB" w:rsidRPr="006C104F" w:rsidRDefault="00A468CB" w:rsidP="00A468CB">
      <w:pPr>
        <w:spacing w:after="120" w:line="276" w:lineRule="auto"/>
        <w:ind w:left="426" w:hanging="426"/>
        <w:jc w:val="both"/>
        <w:rPr>
          <w:sz w:val="22"/>
          <w:szCs w:val="22"/>
        </w:rPr>
      </w:pPr>
      <w:r w:rsidRPr="006C104F">
        <w:rPr>
          <w:sz w:val="22"/>
          <w:szCs w:val="22"/>
        </w:rPr>
        <w:t>1</w:t>
      </w:r>
      <w:r w:rsidR="00F00413">
        <w:rPr>
          <w:sz w:val="22"/>
          <w:szCs w:val="22"/>
        </w:rPr>
        <w:t>4</w:t>
      </w:r>
      <w:r w:rsidRPr="006C104F">
        <w:rPr>
          <w:sz w:val="22"/>
          <w:szCs w:val="22"/>
        </w:rPr>
        <w:t>.2</w:t>
      </w:r>
      <w:r w:rsidRPr="006C104F">
        <w:rPr>
          <w:sz w:val="22"/>
          <w:szCs w:val="22"/>
        </w:rPr>
        <w:tab/>
        <w:t xml:space="preserve">Any registrable interest involving the Contractor (and any agent </w:t>
      </w:r>
      <w:proofErr w:type="gramStart"/>
      <w:r w:rsidRPr="006C104F">
        <w:rPr>
          <w:sz w:val="22"/>
          <w:szCs w:val="22"/>
        </w:rPr>
        <w:t>as the case may be or</w:t>
      </w:r>
      <w:proofErr w:type="gramEnd"/>
      <w:r w:rsidRPr="006C104F">
        <w:rPr>
          <w:sz w:val="22"/>
          <w:szCs w:val="22"/>
        </w:rPr>
        <w:t xml:space="preserve"> any member of the Oireachtas, or their relatives must be fully disclosed to the Client immediately upon such information becoming known to the Contractor (or agent as the case may be) and the Contractor shall comply with the Client’s directions in respect thereof, to the satisfaction of the Client.  In the event of such disclosure, the Client shall have the right (in addition to any other rights which it has at law) to terminate this Contract immediately and without liability for compensation or damages.  The terms “registrable interest” and “relative” shall be interpreted as per section 2 of the Ethics in Public Office Act 1995 (as amended), a copy of which is available on request.  </w:t>
      </w:r>
    </w:p>
    <w:p w14:paraId="6A87ED77" w14:textId="77777777" w:rsidR="00A468CB" w:rsidRPr="006C104F" w:rsidRDefault="00A468CB" w:rsidP="00A468CB">
      <w:pPr>
        <w:spacing w:after="120" w:line="276" w:lineRule="auto"/>
        <w:ind w:left="426" w:hanging="426"/>
        <w:jc w:val="both"/>
        <w:rPr>
          <w:sz w:val="22"/>
          <w:szCs w:val="22"/>
        </w:rPr>
      </w:pPr>
    </w:p>
    <w:p w14:paraId="7BADD7F3" w14:textId="77777777" w:rsidR="00A468CB" w:rsidRPr="006C104F" w:rsidRDefault="00A468CB" w:rsidP="00A468CB">
      <w:pPr>
        <w:pStyle w:val="ListParagraph"/>
        <w:numPr>
          <w:ilvl w:val="1"/>
          <w:numId w:val="22"/>
        </w:numPr>
        <w:spacing w:after="120" w:line="276" w:lineRule="auto"/>
        <w:ind w:left="426" w:hanging="426"/>
        <w:contextualSpacing/>
        <w:jc w:val="both"/>
        <w:rPr>
          <w:sz w:val="22"/>
          <w:szCs w:val="22"/>
        </w:rPr>
      </w:pPr>
      <w:r w:rsidRPr="006C104F">
        <w:rPr>
          <w:sz w:val="22"/>
          <w:szCs w:val="22"/>
        </w:rPr>
        <w:t>The Contractor shall not offer or agree to give any public servant or civil servant any gift or consideration or commission of any kind as an inducement or reward for doing or forbearing to do or for having done or forborne to do any action in relation to the obtaining or execution of this or any other public contract. Any breach of this clause  or the commission of any offence by the Contractor, any agent or employee under the Criminal Justice (Corruption Offences) Act 2018 shall entitle the Client to terminate this Contract immediately and without liability for compensation or damages and to recover the amount of any loss resulting from such cancellation, including but not limited to recovery from the Contractor of the amount or value of any such gift, consideration or commission.</w:t>
      </w:r>
    </w:p>
    <w:p w14:paraId="574290CB" w14:textId="77777777" w:rsidR="00A468CB" w:rsidRPr="006C104F" w:rsidRDefault="00A468CB" w:rsidP="00A468CB">
      <w:pPr>
        <w:spacing w:after="120" w:line="276" w:lineRule="auto"/>
        <w:ind w:left="360"/>
        <w:jc w:val="both"/>
        <w:rPr>
          <w:sz w:val="22"/>
          <w:szCs w:val="22"/>
        </w:rPr>
      </w:pPr>
    </w:p>
    <w:p w14:paraId="76A3F433" w14:textId="77777777" w:rsidR="00FD619D" w:rsidRDefault="00FD619D">
      <w:pPr>
        <w:spacing w:after="160" w:line="259" w:lineRule="auto"/>
        <w:rPr>
          <w:b/>
          <w:bCs/>
          <w:sz w:val="22"/>
          <w:szCs w:val="22"/>
        </w:rPr>
      </w:pPr>
      <w:r>
        <w:rPr>
          <w:b/>
          <w:bCs/>
          <w:sz w:val="22"/>
          <w:szCs w:val="22"/>
        </w:rPr>
        <w:br w:type="page"/>
      </w:r>
    </w:p>
    <w:p w14:paraId="2FB99DFA" w14:textId="6ED18338" w:rsidR="00A468CB" w:rsidRPr="006C104F" w:rsidRDefault="00A468CB" w:rsidP="00A468CB">
      <w:pPr>
        <w:pStyle w:val="ListParagraph"/>
        <w:numPr>
          <w:ilvl w:val="0"/>
          <w:numId w:val="22"/>
        </w:numPr>
        <w:spacing w:after="120" w:line="276" w:lineRule="auto"/>
        <w:contextualSpacing/>
        <w:jc w:val="both"/>
        <w:rPr>
          <w:b/>
          <w:bCs/>
          <w:sz w:val="22"/>
          <w:szCs w:val="22"/>
        </w:rPr>
      </w:pPr>
      <w:r w:rsidRPr="006C104F">
        <w:rPr>
          <w:b/>
          <w:bCs/>
          <w:sz w:val="22"/>
          <w:szCs w:val="22"/>
        </w:rPr>
        <w:lastRenderedPageBreak/>
        <w:t>INDEPENDENT CONTRACTOR</w:t>
      </w:r>
    </w:p>
    <w:p w14:paraId="7EEE5EAD" w14:textId="77777777" w:rsidR="00A468CB" w:rsidRPr="006C104F" w:rsidRDefault="00A468CB" w:rsidP="00A468CB">
      <w:pPr>
        <w:pStyle w:val="ListParagraph"/>
        <w:spacing w:after="120" w:line="276" w:lineRule="auto"/>
        <w:jc w:val="both"/>
        <w:rPr>
          <w:sz w:val="22"/>
          <w:szCs w:val="22"/>
        </w:rPr>
      </w:pPr>
    </w:p>
    <w:p w14:paraId="19B31167" w14:textId="47578EE0" w:rsidR="00A468CB" w:rsidRPr="006C104F" w:rsidRDefault="00A468CB" w:rsidP="00A468CB">
      <w:pPr>
        <w:spacing w:after="120" w:line="276" w:lineRule="auto"/>
        <w:ind w:left="426" w:hanging="426"/>
        <w:jc w:val="both"/>
        <w:rPr>
          <w:sz w:val="22"/>
          <w:szCs w:val="22"/>
        </w:rPr>
      </w:pPr>
      <w:r w:rsidRPr="006C104F">
        <w:rPr>
          <w:sz w:val="22"/>
          <w:szCs w:val="22"/>
        </w:rPr>
        <w:t>1</w:t>
      </w:r>
      <w:r w:rsidR="00F00413">
        <w:rPr>
          <w:sz w:val="22"/>
          <w:szCs w:val="22"/>
        </w:rPr>
        <w:t>5</w:t>
      </w:r>
      <w:r w:rsidRPr="006C104F">
        <w:rPr>
          <w:sz w:val="22"/>
          <w:szCs w:val="22"/>
        </w:rPr>
        <w:t>.1 During this Contract the Contractor shall be an independent contractor and not the employee of the Client.  Neither Party shall have any authority to bind or commit the other. Nothing herein shall be deemed or construed to create a joint venture, partnership, and/or fiduciary or other relationship between the Parties for any purpose. The officers, employees or agents of the Contractor are not and shall not hold themselves out to be (and shall not be held out by the Contractor as being) servants or agents of the Client for any purposes whatsoever.</w:t>
      </w:r>
    </w:p>
    <w:p w14:paraId="05AF6E52" w14:textId="77777777" w:rsidR="00A468CB" w:rsidRPr="006C104F" w:rsidRDefault="00A468CB" w:rsidP="00A468CB">
      <w:pPr>
        <w:spacing w:after="120" w:line="276" w:lineRule="auto"/>
        <w:ind w:left="720" w:hanging="720"/>
        <w:jc w:val="both"/>
        <w:rPr>
          <w:sz w:val="22"/>
          <w:szCs w:val="22"/>
        </w:rPr>
      </w:pPr>
    </w:p>
    <w:p w14:paraId="3627E15C" w14:textId="77777777" w:rsidR="00A468CB" w:rsidRPr="006C104F" w:rsidRDefault="00A468CB" w:rsidP="00A468CB">
      <w:pPr>
        <w:pStyle w:val="ListParagraph"/>
        <w:numPr>
          <w:ilvl w:val="0"/>
          <w:numId w:val="22"/>
        </w:numPr>
        <w:spacing w:after="120" w:line="276" w:lineRule="auto"/>
        <w:contextualSpacing/>
        <w:jc w:val="both"/>
        <w:rPr>
          <w:b/>
          <w:bCs/>
          <w:sz w:val="22"/>
          <w:szCs w:val="22"/>
        </w:rPr>
      </w:pPr>
      <w:r w:rsidRPr="006C104F">
        <w:rPr>
          <w:b/>
          <w:bCs/>
          <w:sz w:val="22"/>
          <w:szCs w:val="22"/>
        </w:rPr>
        <w:t>VARIATION</w:t>
      </w:r>
    </w:p>
    <w:p w14:paraId="32FD4849" w14:textId="77777777" w:rsidR="00A468CB" w:rsidRPr="006C104F" w:rsidRDefault="00A468CB" w:rsidP="00A468CB">
      <w:pPr>
        <w:pStyle w:val="ListParagraph"/>
        <w:spacing w:after="120" w:line="276" w:lineRule="auto"/>
        <w:jc w:val="both"/>
        <w:rPr>
          <w:sz w:val="22"/>
          <w:szCs w:val="22"/>
        </w:rPr>
      </w:pPr>
    </w:p>
    <w:p w14:paraId="39CAE566" w14:textId="0511026B" w:rsidR="00A468CB" w:rsidRPr="006C104F" w:rsidRDefault="00A468CB" w:rsidP="00A468CB">
      <w:pPr>
        <w:spacing w:after="120" w:line="276" w:lineRule="auto"/>
        <w:ind w:left="720" w:hanging="720"/>
        <w:jc w:val="both"/>
        <w:rPr>
          <w:sz w:val="22"/>
          <w:szCs w:val="22"/>
        </w:rPr>
      </w:pPr>
      <w:r w:rsidRPr="006C104F">
        <w:rPr>
          <w:sz w:val="22"/>
          <w:szCs w:val="22"/>
        </w:rPr>
        <w:t>1</w:t>
      </w:r>
      <w:r w:rsidR="00F00413">
        <w:rPr>
          <w:sz w:val="22"/>
          <w:szCs w:val="22"/>
        </w:rPr>
        <w:t>6</w:t>
      </w:r>
      <w:r w:rsidRPr="006C104F">
        <w:rPr>
          <w:sz w:val="22"/>
          <w:szCs w:val="22"/>
        </w:rPr>
        <w:t>.1</w:t>
      </w:r>
      <w:r w:rsidRPr="006C104F">
        <w:rPr>
          <w:sz w:val="22"/>
          <w:szCs w:val="22"/>
        </w:rPr>
        <w:tab/>
        <w:t>No variation of the Contract shall be effective unless it is in writing and signed by a duly authorised representative from each party.</w:t>
      </w:r>
    </w:p>
    <w:p w14:paraId="37CF3B78" w14:textId="77777777" w:rsidR="00A468CB" w:rsidRPr="006C104F" w:rsidRDefault="00A468CB" w:rsidP="00A468CB">
      <w:pPr>
        <w:spacing w:after="120" w:line="276" w:lineRule="auto"/>
        <w:ind w:left="720" w:hanging="720"/>
        <w:jc w:val="both"/>
        <w:rPr>
          <w:sz w:val="22"/>
          <w:szCs w:val="22"/>
        </w:rPr>
      </w:pPr>
    </w:p>
    <w:p w14:paraId="24293407" w14:textId="59E934FB" w:rsidR="00A468CB" w:rsidRPr="006C104F" w:rsidRDefault="00A468CB" w:rsidP="00A468CB">
      <w:pPr>
        <w:pStyle w:val="ListParagraph"/>
        <w:numPr>
          <w:ilvl w:val="0"/>
          <w:numId w:val="22"/>
        </w:numPr>
        <w:spacing w:after="120" w:line="276" w:lineRule="auto"/>
        <w:contextualSpacing/>
        <w:jc w:val="both"/>
        <w:rPr>
          <w:b/>
          <w:bCs/>
          <w:sz w:val="22"/>
          <w:szCs w:val="22"/>
        </w:rPr>
      </w:pPr>
      <w:r w:rsidRPr="006C104F">
        <w:rPr>
          <w:b/>
          <w:bCs/>
          <w:sz w:val="22"/>
          <w:szCs w:val="22"/>
        </w:rPr>
        <w:t>ENTIRE AGREEMENT</w:t>
      </w:r>
    </w:p>
    <w:p w14:paraId="5BBDA451" w14:textId="62A26908" w:rsidR="00A468CB" w:rsidRPr="006C104F" w:rsidRDefault="00A468CB" w:rsidP="00A468CB">
      <w:pPr>
        <w:pStyle w:val="ListParagraph"/>
        <w:spacing w:after="120" w:line="276" w:lineRule="auto"/>
        <w:jc w:val="both"/>
        <w:rPr>
          <w:sz w:val="22"/>
          <w:szCs w:val="22"/>
        </w:rPr>
      </w:pPr>
    </w:p>
    <w:p w14:paraId="1555A4F9" w14:textId="444E34E4" w:rsidR="00A468CB" w:rsidRDefault="00A468CB" w:rsidP="00A468CB">
      <w:pPr>
        <w:spacing w:after="120" w:line="276" w:lineRule="auto"/>
        <w:ind w:left="426" w:hanging="426"/>
        <w:jc w:val="both"/>
        <w:rPr>
          <w:sz w:val="22"/>
          <w:szCs w:val="22"/>
        </w:rPr>
      </w:pPr>
      <w:r w:rsidRPr="006C104F">
        <w:rPr>
          <w:sz w:val="22"/>
          <w:szCs w:val="22"/>
        </w:rPr>
        <w:t>1</w:t>
      </w:r>
      <w:r w:rsidR="00F00413">
        <w:rPr>
          <w:sz w:val="22"/>
          <w:szCs w:val="22"/>
        </w:rPr>
        <w:t>7</w:t>
      </w:r>
      <w:r w:rsidRPr="006C104F">
        <w:rPr>
          <w:sz w:val="22"/>
          <w:szCs w:val="22"/>
        </w:rPr>
        <w:t>.1 Th</w:t>
      </w:r>
      <w:r w:rsidR="0017054E" w:rsidRPr="006C104F">
        <w:rPr>
          <w:sz w:val="22"/>
          <w:szCs w:val="22"/>
        </w:rPr>
        <w:t>e R</w:t>
      </w:r>
      <w:r w:rsidR="00EB109E">
        <w:rPr>
          <w:sz w:val="22"/>
          <w:szCs w:val="22"/>
        </w:rPr>
        <w:t>F</w:t>
      </w:r>
      <w:r w:rsidR="0017054E" w:rsidRPr="006C104F">
        <w:rPr>
          <w:sz w:val="22"/>
          <w:szCs w:val="22"/>
        </w:rPr>
        <w:t xml:space="preserve">Q, tender proposal and Order </w:t>
      </w:r>
      <w:r w:rsidRPr="006C104F">
        <w:rPr>
          <w:sz w:val="22"/>
          <w:szCs w:val="22"/>
        </w:rPr>
        <w:t xml:space="preserve">constitute the entire agreement and understanding of the Parties, and </w:t>
      </w:r>
      <w:proofErr w:type="gramStart"/>
      <w:r w:rsidRPr="006C104F">
        <w:rPr>
          <w:sz w:val="22"/>
          <w:szCs w:val="22"/>
        </w:rPr>
        <w:t>any and all</w:t>
      </w:r>
      <w:proofErr w:type="gramEnd"/>
      <w:r w:rsidRPr="006C104F">
        <w:rPr>
          <w:sz w:val="22"/>
          <w:szCs w:val="22"/>
        </w:rPr>
        <w:t xml:space="preserve"> other previous Contracts, arrangements and understandings (whether written or oral) between the Parties with regard to the subject matter of this Contract (save where fraudulently made) are hereby excluded.</w:t>
      </w:r>
    </w:p>
    <w:p w14:paraId="074FE4C6" w14:textId="77777777" w:rsidR="00EB109E" w:rsidRPr="006C104F" w:rsidRDefault="00EB109E" w:rsidP="00A468CB">
      <w:pPr>
        <w:spacing w:after="120" w:line="276" w:lineRule="auto"/>
        <w:ind w:left="426" w:hanging="426"/>
        <w:jc w:val="both"/>
        <w:rPr>
          <w:sz w:val="22"/>
          <w:szCs w:val="22"/>
        </w:rPr>
      </w:pPr>
    </w:p>
    <w:p w14:paraId="11A6AD5E" w14:textId="2608FED2" w:rsidR="00A468CB" w:rsidRPr="006C104F" w:rsidRDefault="00A468CB" w:rsidP="00F00413">
      <w:pPr>
        <w:pStyle w:val="ListParagraph"/>
        <w:numPr>
          <w:ilvl w:val="0"/>
          <w:numId w:val="22"/>
        </w:numPr>
        <w:spacing w:after="120" w:line="276" w:lineRule="auto"/>
        <w:contextualSpacing/>
        <w:jc w:val="both"/>
        <w:rPr>
          <w:b/>
          <w:bCs/>
          <w:sz w:val="22"/>
          <w:szCs w:val="22"/>
        </w:rPr>
      </w:pPr>
      <w:r w:rsidRPr="006C104F">
        <w:rPr>
          <w:b/>
          <w:bCs/>
          <w:sz w:val="22"/>
          <w:szCs w:val="22"/>
        </w:rPr>
        <w:t xml:space="preserve"> DISPUTES</w:t>
      </w:r>
    </w:p>
    <w:p w14:paraId="42559882" w14:textId="77777777" w:rsidR="00A468CB" w:rsidRPr="006C104F" w:rsidRDefault="00A468CB" w:rsidP="00A468CB">
      <w:pPr>
        <w:spacing w:after="120" w:line="276" w:lineRule="auto"/>
        <w:jc w:val="both"/>
        <w:rPr>
          <w:sz w:val="22"/>
          <w:szCs w:val="22"/>
        </w:rPr>
      </w:pPr>
    </w:p>
    <w:p w14:paraId="68C89741" w14:textId="4A0B1151" w:rsidR="00A468CB" w:rsidRPr="006C104F" w:rsidRDefault="00A468CB" w:rsidP="00A468CB">
      <w:pPr>
        <w:spacing w:after="120" w:line="276" w:lineRule="auto"/>
        <w:ind w:left="426" w:hanging="426"/>
        <w:jc w:val="both"/>
        <w:rPr>
          <w:sz w:val="22"/>
          <w:szCs w:val="22"/>
        </w:rPr>
      </w:pPr>
      <w:r w:rsidRPr="006C104F">
        <w:rPr>
          <w:sz w:val="22"/>
          <w:szCs w:val="22"/>
        </w:rPr>
        <w:t>1</w:t>
      </w:r>
      <w:r w:rsidR="00F00413">
        <w:rPr>
          <w:sz w:val="22"/>
          <w:szCs w:val="22"/>
        </w:rPr>
        <w:t>8</w:t>
      </w:r>
      <w:r w:rsidRPr="006C104F">
        <w:rPr>
          <w:sz w:val="22"/>
          <w:szCs w:val="22"/>
        </w:rPr>
        <w:t>.1 In the event of any dispute arising out of or relating to this Contract the Parties shall first seek settlement of the Dispute between their nominated representatives.</w:t>
      </w:r>
    </w:p>
    <w:p w14:paraId="725F8542" w14:textId="77777777" w:rsidR="00A468CB" w:rsidRPr="006C104F" w:rsidRDefault="00A468CB" w:rsidP="00A468CB">
      <w:pPr>
        <w:spacing w:after="120" w:line="276" w:lineRule="auto"/>
        <w:jc w:val="both"/>
        <w:rPr>
          <w:sz w:val="22"/>
          <w:szCs w:val="22"/>
        </w:rPr>
      </w:pPr>
    </w:p>
    <w:p w14:paraId="55881D5A" w14:textId="77777777" w:rsidR="00A468CB" w:rsidRPr="006C104F" w:rsidRDefault="00A468CB" w:rsidP="00F00413">
      <w:pPr>
        <w:pStyle w:val="ListParagraph"/>
        <w:numPr>
          <w:ilvl w:val="0"/>
          <w:numId w:val="22"/>
        </w:numPr>
        <w:spacing w:after="120" w:line="276" w:lineRule="auto"/>
        <w:contextualSpacing/>
        <w:jc w:val="both"/>
        <w:rPr>
          <w:b/>
          <w:bCs/>
          <w:sz w:val="22"/>
          <w:szCs w:val="22"/>
        </w:rPr>
      </w:pPr>
      <w:r w:rsidRPr="006C104F">
        <w:rPr>
          <w:b/>
          <w:bCs/>
          <w:sz w:val="22"/>
          <w:szCs w:val="22"/>
        </w:rPr>
        <w:t>GOVERNING LAW AND JURISDICTION</w:t>
      </w:r>
    </w:p>
    <w:p w14:paraId="61DAE095" w14:textId="77777777" w:rsidR="00A468CB" w:rsidRPr="006C104F" w:rsidRDefault="00A468CB" w:rsidP="00A468CB">
      <w:pPr>
        <w:pStyle w:val="ListParagraph"/>
        <w:spacing w:after="120" w:line="276" w:lineRule="auto"/>
        <w:jc w:val="both"/>
        <w:rPr>
          <w:sz w:val="22"/>
          <w:szCs w:val="22"/>
        </w:rPr>
      </w:pPr>
    </w:p>
    <w:p w14:paraId="24E69AA2" w14:textId="278E7203" w:rsidR="00A468CB" w:rsidRPr="006C104F" w:rsidRDefault="00F00413" w:rsidP="00A468CB">
      <w:pPr>
        <w:spacing w:after="120" w:line="276" w:lineRule="auto"/>
        <w:ind w:left="426" w:hanging="426"/>
        <w:jc w:val="both"/>
        <w:rPr>
          <w:sz w:val="22"/>
          <w:szCs w:val="22"/>
        </w:rPr>
      </w:pPr>
      <w:r>
        <w:rPr>
          <w:sz w:val="22"/>
          <w:szCs w:val="22"/>
        </w:rPr>
        <w:t>19</w:t>
      </w:r>
      <w:r w:rsidR="00A468CB" w:rsidRPr="006C104F">
        <w:rPr>
          <w:sz w:val="22"/>
          <w:szCs w:val="22"/>
        </w:rPr>
        <w:t>.1 This Contract shall in all aspects be governed by and construed in accordance with the laws of Ireland and the Parties hereby agree that the courts of Ireland have exclusive jurisdiction to hear and determine any disputes arising out of or in connection with this Contract.</w:t>
      </w:r>
    </w:p>
    <w:p w14:paraId="3DC6FEE9" w14:textId="77777777" w:rsidR="00A468CB" w:rsidRPr="006C104F" w:rsidRDefault="00A468CB" w:rsidP="00A468CB">
      <w:pPr>
        <w:rPr>
          <w:sz w:val="22"/>
          <w:szCs w:val="22"/>
        </w:rPr>
      </w:pPr>
    </w:p>
    <w:p w14:paraId="25B3F76A" w14:textId="0D32A2D1" w:rsidR="00E75520" w:rsidRDefault="00E75520" w:rsidP="00DA12CE">
      <w:pPr>
        <w:spacing w:after="160" w:line="259" w:lineRule="auto"/>
        <w:rPr>
          <w:sz w:val="22"/>
          <w:szCs w:val="22"/>
        </w:rPr>
      </w:pPr>
    </w:p>
    <w:p w14:paraId="20051AA7" w14:textId="77777777" w:rsidR="00DA12CE" w:rsidRDefault="00DA12CE" w:rsidP="00DA12CE">
      <w:pPr>
        <w:spacing w:after="160" w:line="259" w:lineRule="auto"/>
        <w:rPr>
          <w:sz w:val="22"/>
          <w:szCs w:val="22"/>
        </w:rPr>
      </w:pPr>
    </w:p>
    <w:p w14:paraId="606DEF6A" w14:textId="77777777" w:rsidR="00DA12CE" w:rsidRDefault="00DA12CE" w:rsidP="00DA12CE">
      <w:pPr>
        <w:spacing w:after="160" w:line="259" w:lineRule="auto"/>
        <w:rPr>
          <w:sz w:val="22"/>
          <w:szCs w:val="22"/>
        </w:rPr>
      </w:pPr>
    </w:p>
    <w:p w14:paraId="68D45F66" w14:textId="77777777" w:rsidR="00DA12CE" w:rsidRDefault="00DA12CE" w:rsidP="00DA12CE">
      <w:pPr>
        <w:spacing w:after="160" w:line="259" w:lineRule="auto"/>
        <w:rPr>
          <w:sz w:val="22"/>
          <w:szCs w:val="22"/>
        </w:rPr>
      </w:pPr>
    </w:p>
    <w:p w14:paraId="1F03E972" w14:textId="77777777" w:rsidR="00DA12CE" w:rsidRPr="006C104F" w:rsidRDefault="00DA12CE" w:rsidP="00DA12CE">
      <w:pPr>
        <w:spacing w:after="160" w:line="259" w:lineRule="auto"/>
        <w:rPr>
          <w:sz w:val="22"/>
          <w:szCs w:val="22"/>
        </w:rPr>
      </w:pPr>
    </w:p>
    <w:p w14:paraId="1E64CBC3" w14:textId="77777777" w:rsidR="00E75520" w:rsidRPr="006C104F" w:rsidRDefault="00E75520" w:rsidP="00E75520">
      <w:pPr>
        <w:spacing w:line="240" w:lineRule="atLeast"/>
        <w:ind w:left="720" w:hanging="720"/>
        <w:jc w:val="both"/>
        <w:rPr>
          <w:sz w:val="22"/>
          <w:szCs w:val="22"/>
        </w:rPr>
      </w:pPr>
    </w:p>
    <w:p w14:paraId="7FBC3D64" w14:textId="77777777" w:rsidR="00E75520" w:rsidRPr="006C104F" w:rsidRDefault="00E75520" w:rsidP="00E75520">
      <w:pPr>
        <w:ind w:left="709" w:hanging="709"/>
        <w:jc w:val="both"/>
        <w:rPr>
          <w:sz w:val="22"/>
          <w:szCs w:val="22"/>
          <w:highlight w:val="yellow"/>
        </w:rPr>
      </w:pPr>
    </w:p>
    <w:p w14:paraId="4A6DC257" w14:textId="72F2203D" w:rsidR="00517707" w:rsidRPr="003002F6" w:rsidRDefault="00517707" w:rsidP="00FA16EE">
      <w:pPr>
        <w:jc w:val="center"/>
        <w:rPr>
          <w:b/>
          <w:bCs/>
          <w:sz w:val="22"/>
          <w:szCs w:val="22"/>
        </w:rPr>
      </w:pPr>
      <w:r w:rsidRPr="003002F6">
        <w:rPr>
          <w:b/>
          <w:bCs/>
          <w:sz w:val="22"/>
          <w:szCs w:val="22"/>
        </w:rPr>
        <w:lastRenderedPageBreak/>
        <w:t>Appendix 2: Tender Cover page</w:t>
      </w:r>
    </w:p>
    <w:p w14:paraId="10539E71" w14:textId="77777777" w:rsidR="00517707" w:rsidRPr="006C104F" w:rsidRDefault="00517707" w:rsidP="001F7962">
      <w:pPr>
        <w:jc w:val="both"/>
        <w:rPr>
          <w:sz w:val="22"/>
          <w:szCs w:val="22"/>
        </w:rPr>
      </w:pPr>
    </w:p>
    <w:p w14:paraId="4D4C9CD5" w14:textId="77777777" w:rsidR="00517707" w:rsidRPr="006C104F" w:rsidRDefault="00517707" w:rsidP="00517707">
      <w:pPr>
        <w:rPr>
          <w:b/>
          <w:sz w:val="22"/>
          <w:szCs w:val="22"/>
          <w:lang w:val="en-IE"/>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696"/>
      </w:tblGrid>
      <w:tr w:rsidR="00517707" w:rsidRPr="006C104F" w14:paraId="40889D83" w14:textId="77777777" w:rsidTr="00A468CB">
        <w:trPr>
          <w:trHeight w:val="567"/>
        </w:trPr>
        <w:tc>
          <w:tcPr>
            <w:tcW w:w="2376" w:type="dxa"/>
            <w:shd w:val="clear" w:color="auto" w:fill="auto"/>
          </w:tcPr>
          <w:p w14:paraId="0F298753" w14:textId="7C658DA6" w:rsidR="00517707" w:rsidRPr="006C104F" w:rsidRDefault="00517707" w:rsidP="00A468CB">
            <w:pPr>
              <w:rPr>
                <w:b/>
                <w:sz w:val="22"/>
                <w:szCs w:val="22"/>
                <w:lang w:val="en-IE"/>
              </w:rPr>
            </w:pPr>
            <w:r w:rsidRPr="006C104F">
              <w:rPr>
                <w:b/>
                <w:sz w:val="22"/>
                <w:szCs w:val="22"/>
                <w:lang w:val="en-IE"/>
              </w:rPr>
              <w:t xml:space="preserve">Name of </w:t>
            </w:r>
            <w:r w:rsidR="00FA16EE" w:rsidRPr="006C104F">
              <w:rPr>
                <w:b/>
                <w:sz w:val="22"/>
                <w:szCs w:val="22"/>
                <w:lang w:val="en-IE"/>
              </w:rPr>
              <w:t>Tendere</w:t>
            </w:r>
            <w:r w:rsidR="00F64961" w:rsidRPr="006C104F">
              <w:rPr>
                <w:sz w:val="22"/>
                <w:szCs w:val="22"/>
              </w:rPr>
              <w:t>r and company number if applicable</w:t>
            </w:r>
            <w:r w:rsidRPr="006C104F">
              <w:rPr>
                <w:b/>
                <w:sz w:val="22"/>
                <w:szCs w:val="22"/>
                <w:lang w:val="en-IE"/>
              </w:rPr>
              <w:t>:</w:t>
            </w:r>
          </w:p>
          <w:p w14:paraId="47393CDD" w14:textId="77777777" w:rsidR="00517707" w:rsidRPr="006C104F" w:rsidRDefault="00517707" w:rsidP="00A468CB">
            <w:pPr>
              <w:rPr>
                <w:b/>
                <w:sz w:val="22"/>
                <w:szCs w:val="22"/>
                <w:lang w:val="en-IE"/>
              </w:rPr>
            </w:pPr>
          </w:p>
        </w:tc>
        <w:tc>
          <w:tcPr>
            <w:tcW w:w="6696" w:type="dxa"/>
            <w:shd w:val="clear" w:color="auto" w:fill="auto"/>
          </w:tcPr>
          <w:p w14:paraId="79E0CF96" w14:textId="77777777" w:rsidR="00517707" w:rsidRPr="006C104F" w:rsidRDefault="00517707" w:rsidP="00A468CB">
            <w:pPr>
              <w:rPr>
                <w:sz w:val="22"/>
                <w:szCs w:val="22"/>
                <w:lang w:val="en-IE"/>
              </w:rPr>
            </w:pPr>
          </w:p>
        </w:tc>
      </w:tr>
      <w:tr w:rsidR="00517707" w:rsidRPr="006C104F" w14:paraId="596CC5ED" w14:textId="77777777" w:rsidTr="00A468CB">
        <w:trPr>
          <w:trHeight w:val="489"/>
        </w:trPr>
        <w:tc>
          <w:tcPr>
            <w:tcW w:w="2376" w:type="dxa"/>
            <w:shd w:val="clear" w:color="auto" w:fill="auto"/>
          </w:tcPr>
          <w:p w14:paraId="0ABED17C" w14:textId="588C6127" w:rsidR="00517707" w:rsidRPr="006C104F" w:rsidRDefault="00FA16EE" w:rsidP="00517707">
            <w:pPr>
              <w:rPr>
                <w:b/>
                <w:sz w:val="22"/>
                <w:szCs w:val="22"/>
                <w:lang w:val="en-IE"/>
              </w:rPr>
            </w:pPr>
            <w:r w:rsidRPr="006C104F">
              <w:rPr>
                <w:b/>
                <w:sz w:val="22"/>
                <w:szCs w:val="22"/>
                <w:lang w:val="en-IE"/>
              </w:rPr>
              <w:t>RFQ Title</w:t>
            </w:r>
            <w:r w:rsidR="00517707" w:rsidRPr="006C104F">
              <w:rPr>
                <w:b/>
                <w:sz w:val="22"/>
                <w:szCs w:val="22"/>
                <w:lang w:val="en-IE"/>
              </w:rPr>
              <w:t>:</w:t>
            </w:r>
          </w:p>
        </w:tc>
        <w:tc>
          <w:tcPr>
            <w:tcW w:w="6696" w:type="dxa"/>
            <w:shd w:val="clear" w:color="auto" w:fill="auto"/>
          </w:tcPr>
          <w:p w14:paraId="55773659" w14:textId="77777777" w:rsidR="00517707" w:rsidRPr="006C104F" w:rsidRDefault="00517707" w:rsidP="00A468CB">
            <w:pPr>
              <w:rPr>
                <w:sz w:val="22"/>
                <w:szCs w:val="22"/>
                <w:lang w:val="en-IE"/>
              </w:rPr>
            </w:pPr>
          </w:p>
        </w:tc>
      </w:tr>
      <w:tr w:rsidR="00517707" w:rsidRPr="006C104F" w14:paraId="29D92C28" w14:textId="77777777" w:rsidTr="00A468CB">
        <w:trPr>
          <w:trHeight w:val="497"/>
        </w:trPr>
        <w:tc>
          <w:tcPr>
            <w:tcW w:w="2376" w:type="dxa"/>
            <w:shd w:val="clear" w:color="auto" w:fill="auto"/>
          </w:tcPr>
          <w:p w14:paraId="3CF20DE2" w14:textId="77777777" w:rsidR="00517707" w:rsidRPr="006C104F" w:rsidRDefault="00517707" w:rsidP="00A468CB">
            <w:pPr>
              <w:rPr>
                <w:b/>
                <w:sz w:val="22"/>
                <w:szCs w:val="22"/>
                <w:lang w:val="en-IE"/>
              </w:rPr>
            </w:pPr>
            <w:r w:rsidRPr="006C104F">
              <w:rPr>
                <w:b/>
                <w:sz w:val="22"/>
                <w:szCs w:val="22"/>
                <w:lang w:val="en-IE"/>
              </w:rPr>
              <w:t>Date:</w:t>
            </w:r>
          </w:p>
        </w:tc>
        <w:tc>
          <w:tcPr>
            <w:tcW w:w="6696" w:type="dxa"/>
            <w:shd w:val="clear" w:color="auto" w:fill="auto"/>
          </w:tcPr>
          <w:p w14:paraId="2D0B6973" w14:textId="77777777" w:rsidR="00517707" w:rsidRPr="006C104F" w:rsidRDefault="00517707" w:rsidP="00A468CB">
            <w:pPr>
              <w:rPr>
                <w:sz w:val="22"/>
                <w:szCs w:val="22"/>
                <w:lang w:val="en-IE"/>
              </w:rPr>
            </w:pPr>
          </w:p>
        </w:tc>
      </w:tr>
    </w:tbl>
    <w:p w14:paraId="0B7FCA09" w14:textId="77777777" w:rsidR="00517707" w:rsidRPr="006C104F" w:rsidRDefault="00517707" w:rsidP="00517707">
      <w:pPr>
        <w:rPr>
          <w:sz w:val="22"/>
          <w:szCs w:val="22"/>
          <w:lang w:val="en-IE"/>
        </w:rPr>
      </w:pPr>
    </w:p>
    <w:p w14:paraId="4D50B72C" w14:textId="77777777" w:rsidR="00517707" w:rsidRPr="006C104F" w:rsidRDefault="00517707" w:rsidP="00517707">
      <w:pPr>
        <w:rPr>
          <w:sz w:val="22"/>
          <w:szCs w:val="22"/>
          <w:lang w:val="en-IE"/>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04"/>
      </w:tblGrid>
      <w:tr w:rsidR="00517707" w:rsidRPr="006C104F" w14:paraId="18437967" w14:textId="77777777" w:rsidTr="00A468CB">
        <w:trPr>
          <w:trHeight w:val="229"/>
        </w:trPr>
        <w:tc>
          <w:tcPr>
            <w:tcW w:w="2376" w:type="dxa"/>
            <w:shd w:val="clear" w:color="auto" w:fill="auto"/>
          </w:tcPr>
          <w:p w14:paraId="2C8FEEEC" w14:textId="37A201F1" w:rsidR="00517707" w:rsidRPr="006C104F" w:rsidRDefault="00FC52EF" w:rsidP="00A468CB">
            <w:pPr>
              <w:rPr>
                <w:b/>
                <w:sz w:val="22"/>
                <w:szCs w:val="22"/>
                <w:lang w:val="en-IE"/>
              </w:rPr>
            </w:pPr>
            <w:r w:rsidRPr="006C104F">
              <w:rPr>
                <w:b/>
                <w:sz w:val="22"/>
                <w:szCs w:val="22"/>
                <w:lang w:val="en-IE"/>
              </w:rPr>
              <w:t>Details of Conflict of Interest, if any</w:t>
            </w:r>
            <w:r w:rsidR="00F64961" w:rsidRPr="006C104F">
              <w:rPr>
                <w:sz w:val="22"/>
                <w:szCs w:val="22"/>
              </w:rPr>
              <w:t xml:space="preserve"> and if any, how the Tenderer proposes to resolve the conflict of interest.” </w:t>
            </w:r>
          </w:p>
          <w:p w14:paraId="28CDA8B4" w14:textId="77777777" w:rsidR="00517707" w:rsidRPr="006C104F" w:rsidRDefault="00517707" w:rsidP="00A468CB">
            <w:pPr>
              <w:rPr>
                <w:sz w:val="22"/>
                <w:szCs w:val="22"/>
                <w:lang w:val="en-IE"/>
              </w:rPr>
            </w:pPr>
          </w:p>
        </w:tc>
        <w:tc>
          <w:tcPr>
            <w:tcW w:w="6804" w:type="dxa"/>
            <w:shd w:val="clear" w:color="auto" w:fill="auto"/>
          </w:tcPr>
          <w:p w14:paraId="74CDDA7A" w14:textId="77777777" w:rsidR="00517707" w:rsidRPr="006C104F" w:rsidRDefault="00517707" w:rsidP="00A468CB">
            <w:pPr>
              <w:rPr>
                <w:sz w:val="22"/>
                <w:szCs w:val="22"/>
                <w:lang w:val="en-IE"/>
              </w:rPr>
            </w:pPr>
          </w:p>
        </w:tc>
      </w:tr>
      <w:tr w:rsidR="00517707" w:rsidRPr="006C104F" w14:paraId="15CCF18C" w14:textId="77777777" w:rsidTr="00A468CB">
        <w:tc>
          <w:tcPr>
            <w:tcW w:w="2376" w:type="dxa"/>
            <w:shd w:val="clear" w:color="auto" w:fill="auto"/>
          </w:tcPr>
          <w:p w14:paraId="4D71B33E" w14:textId="43D42A4F" w:rsidR="00517707" w:rsidRPr="006C104F" w:rsidRDefault="00517707" w:rsidP="00A468CB">
            <w:pPr>
              <w:rPr>
                <w:b/>
                <w:sz w:val="22"/>
                <w:szCs w:val="22"/>
                <w:lang w:val="en-IE"/>
              </w:rPr>
            </w:pPr>
            <w:r w:rsidRPr="006C104F">
              <w:rPr>
                <w:b/>
                <w:sz w:val="22"/>
                <w:szCs w:val="22"/>
                <w:lang w:val="en-IE"/>
              </w:rPr>
              <w:t>Confirmation by Tenderer to accept Terms and Conditions:</w:t>
            </w:r>
          </w:p>
          <w:p w14:paraId="1DF63D6C" w14:textId="77777777" w:rsidR="00517707" w:rsidRPr="006C104F" w:rsidRDefault="00517707" w:rsidP="00A468CB">
            <w:pPr>
              <w:rPr>
                <w:sz w:val="22"/>
                <w:szCs w:val="22"/>
                <w:lang w:val="en-IE"/>
              </w:rPr>
            </w:pPr>
          </w:p>
        </w:tc>
        <w:tc>
          <w:tcPr>
            <w:tcW w:w="6804" w:type="dxa"/>
            <w:shd w:val="clear" w:color="auto" w:fill="auto"/>
          </w:tcPr>
          <w:p w14:paraId="0A9F214B" w14:textId="4FB35847" w:rsidR="00517707" w:rsidRPr="006C104F" w:rsidRDefault="00FD4F0F" w:rsidP="00A468CB">
            <w:pPr>
              <w:rPr>
                <w:sz w:val="22"/>
                <w:szCs w:val="22"/>
                <w:lang w:val="en-IE"/>
              </w:rPr>
            </w:pPr>
            <w:r w:rsidRPr="006C104F">
              <w:rPr>
                <w:sz w:val="22"/>
                <w:szCs w:val="22"/>
                <w:lang w:val="en-IE"/>
              </w:rPr>
              <w:t>[ INSERT SIGNATURE]</w:t>
            </w:r>
          </w:p>
        </w:tc>
      </w:tr>
    </w:tbl>
    <w:p w14:paraId="4DCBBBC8" w14:textId="77777777" w:rsidR="00517707" w:rsidRPr="006C104F" w:rsidRDefault="00517707" w:rsidP="001F7962">
      <w:pPr>
        <w:jc w:val="both"/>
        <w:rPr>
          <w:sz w:val="22"/>
          <w:szCs w:val="22"/>
        </w:rPr>
      </w:pPr>
    </w:p>
    <w:p w14:paraId="2AE2636A" w14:textId="09191B07" w:rsidR="00A468CB" w:rsidRPr="006C104F" w:rsidRDefault="004A6949" w:rsidP="001F7962">
      <w:pPr>
        <w:jc w:val="both"/>
        <w:rPr>
          <w:sz w:val="22"/>
          <w:szCs w:val="22"/>
        </w:rPr>
      </w:pPr>
      <w:r w:rsidRPr="006C104F">
        <w:rPr>
          <w:sz w:val="22"/>
          <w:szCs w:val="22"/>
        </w:rPr>
        <w:br/>
      </w:r>
    </w:p>
    <w:sectPr w:rsidR="00A468CB" w:rsidRPr="006C104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654275" w14:textId="77777777" w:rsidR="000455C2" w:rsidRDefault="000455C2" w:rsidP="004A6949">
      <w:r>
        <w:separator/>
      </w:r>
    </w:p>
  </w:endnote>
  <w:endnote w:type="continuationSeparator" w:id="0">
    <w:p w14:paraId="09AB04FB" w14:textId="77777777" w:rsidR="000455C2" w:rsidRDefault="000455C2" w:rsidP="004A6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368B36" w14:textId="77777777" w:rsidR="000455C2" w:rsidRDefault="000455C2" w:rsidP="004A6949">
      <w:r>
        <w:separator/>
      </w:r>
    </w:p>
  </w:footnote>
  <w:footnote w:type="continuationSeparator" w:id="0">
    <w:p w14:paraId="6F17EB06" w14:textId="77777777" w:rsidR="000455C2" w:rsidRDefault="000455C2" w:rsidP="004A69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B2A98"/>
    <w:multiLevelType w:val="hybridMultilevel"/>
    <w:tmpl w:val="95AC60F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612239B"/>
    <w:multiLevelType w:val="hybridMultilevel"/>
    <w:tmpl w:val="028C0248"/>
    <w:lvl w:ilvl="0" w:tplc="0809000F">
      <w:start w:val="1"/>
      <w:numFmt w:val="decimal"/>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2" w15:restartNumberingAfterBreak="0">
    <w:nsid w:val="064000FD"/>
    <w:multiLevelType w:val="hybridMultilevel"/>
    <w:tmpl w:val="2F040AC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8A1802"/>
    <w:multiLevelType w:val="hybridMultilevel"/>
    <w:tmpl w:val="78A82E1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E3A7ADD"/>
    <w:multiLevelType w:val="hybridMultilevel"/>
    <w:tmpl w:val="93908A8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4DD087C"/>
    <w:multiLevelType w:val="multilevel"/>
    <w:tmpl w:val="1BB8D5D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6D357B2"/>
    <w:multiLevelType w:val="multilevel"/>
    <w:tmpl w:val="46581D4E"/>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294446"/>
    <w:multiLevelType w:val="hybridMultilevel"/>
    <w:tmpl w:val="0CE630C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26194483"/>
    <w:multiLevelType w:val="hybridMultilevel"/>
    <w:tmpl w:val="1E3E75D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0F1849"/>
    <w:multiLevelType w:val="hybridMultilevel"/>
    <w:tmpl w:val="D7D6DFFA"/>
    <w:lvl w:ilvl="0" w:tplc="0809001B">
      <w:start w:val="1"/>
      <w:numFmt w:val="lowerRoman"/>
      <w:lvlText w:val="%1."/>
      <w:lvlJc w:val="righ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2EA7CFC"/>
    <w:multiLevelType w:val="hybridMultilevel"/>
    <w:tmpl w:val="57CEE05E"/>
    <w:lvl w:ilvl="0" w:tplc="1C32121A">
      <w:start w:val="1"/>
      <w:numFmt w:val="bullet"/>
      <w:lvlText w:val=""/>
      <w:lvlJc w:val="left"/>
      <w:pPr>
        <w:ind w:left="720" w:hanging="360"/>
      </w:pPr>
      <w:rPr>
        <w:rFonts w:ascii="Symbol" w:hAnsi="Symbol" w:hint="default"/>
      </w:rPr>
    </w:lvl>
    <w:lvl w:ilvl="1" w:tplc="BEE4D3C0">
      <w:start w:val="1"/>
      <w:numFmt w:val="bullet"/>
      <w:lvlText w:val="o"/>
      <w:lvlJc w:val="left"/>
      <w:pPr>
        <w:ind w:left="1440" w:hanging="360"/>
      </w:pPr>
      <w:rPr>
        <w:rFonts w:ascii="Courier New" w:hAnsi="Courier New" w:hint="default"/>
      </w:rPr>
    </w:lvl>
    <w:lvl w:ilvl="2" w:tplc="FBEAE6EA">
      <w:start w:val="1"/>
      <w:numFmt w:val="bullet"/>
      <w:lvlText w:val=""/>
      <w:lvlJc w:val="left"/>
      <w:pPr>
        <w:ind w:left="2160" w:hanging="360"/>
      </w:pPr>
      <w:rPr>
        <w:rFonts w:ascii="Wingdings" w:hAnsi="Wingdings" w:hint="default"/>
      </w:rPr>
    </w:lvl>
    <w:lvl w:ilvl="3" w:tplc="50206DBE">
      <w:start w:val="1"/>
      <w:numFmt w:val="bullet"/>
      <w:lvlText w:val=""/>
      <w:lvlJc w:val="left"/>
      <w:pPr>
        <w:ind w:left="2880" w:hanging="360"/>
      </w:pPr>
      <w:rPr>
        <w:rFonts w:ascii="Symbol" w:hAnsi="Symbol" w:hint="default"/>
      </w:rPr>
    </w:lvl>
    <w:lvl w:ilvl="4" w:tplc="70167A48">
      <w:start w:val="1"/>
      <w:numFmt w:val="bullet"/>
      <w:lvlText w:val="o"/>
      <w:lvlJc w:val="left"/>
      <w:pPr>
        <w:ind w:left="3600" w:hanging="360"/>
      </w:pPr>
      <w:rPr>
        <w:rFonts w:ascii="Courier New" w:hAnsi="Courier New" w:hint="default"/>
      </w:rPr>
    </w:lvl>
    <w:lvl w:ilvl="5" w:tplc="AA505016">
      <w:start w:val="1"/>
      <w:numFmt w:val="bullet"/>
      <w:lvlText w:val=""/>
      <w:lvlJc w:val="left"/>
      <w:pPr>
        <w:ind w:left="4320" w:hanging="360"/>
      </w:pPr>
      <w:rPr>
        <w:rFonts w:ascii="Wingdings" w:hAnsi="Wingdings" w:hint="default"/>
      </w:rPr>
    </w:lvl>
    <w:lvl w:ilvl="6" w:tplc="F1ECACBA">
      <w:start w:val="1"/>
      <w:numFmt w:val="bullet"/>
      <w:lvlText w:val=""/>
      <w:lvlJc w:val="left"/>
      <w:pPr>
        <w:ind w:left="5040" w:hanging="360"/>
      </w:pPr>
      <w:rPr>
        <w:rFonts w:ascii="Symbol" w:hAnsi="Symbol" w:hint="default"/>
      </w:rPr>
    </w:lvl>
    <w:lvl w:ilvl="7" w:tplc="073A9C18">
      <w:start w:val="1"/>
      <w:numFmt w:val="bullet"/>
      <w:lvlText w:val="o"/>
      <w:lvlJc w:val="left"/>
      <w:pPr>
        <w:ind w:left="5760" w:hanging="360"/>
      </w:pPr>
      <w:rPr>
        <w:rFonts w:ascii="Courier New" w:hAnsi="Courier New" w:hint="default"/>
      </w:rPr>
    </w:lvl>
    <w:lvl w:ilvl="8" w:tplc="E3C8ED8A">
      <w:start w:val="1"/>
      <w:numFmt w:val="bullet"/>
      <w:lvlText w:val=""/>
      <w:lvlJc w:val="left"/>
      <w:pPr>
        <w:ind w:left="6480" w:hanging="360"/>
      </w:pPr>
      <w:rPr>
        <w:rFonts w:ascii="Wingdings" w:hAnsi="Wingdings" w:hint="default"/>
      </w:rPr>
    </w:lvl>
  </w:abstractNum>
  <w:abstractNum w:abstractNumId="11" w15:restartNumberingAfterBreak="0">
    <w:nsid w:val="3C4571DD"/>
    <w:multiLevelType w:val="multilevel"/>
    <w:tmpl w:val="7EF2A4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E610E5"/>
    <w:multiLevelType w:val="multilevel"/>
    <w:tmpl w:val="A8EE25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533DA9"/>
    <w:multiLevelType w:val="hybridMultilevel"/>
    <w:tmpl w:val="026A0408"/>
    <w:lvl w:ilvl="0" w:tplc="1809000B">
      <w:start w:val="1"/>
      <w:numFmt w:val="bullet"/>
      <w:lvlText w:val=""/>
      <w:lvlJc w:val="left"/>
      <w:pPr>
        <w:ind w:left="720" w:hanging="360"/>
      </w:pPr>
      <w:rPr>
        <w:rFonts w:ascii="Wingdings" w:hAnsi="Wingding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2A57495"/>
    <w:multiLevelType w:val="multilevel"/>
    <w:tmpl w:val="A8EE25C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44275360"/>
    <w:multiLevelType w:val="hybridMultilevel"/>
    <w:tmpl w:val="C2885E38"/>
    <w:lvl w:ilvl="0" w:tplc="BB6EFC0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4AC41C4"/>
    <w:multiLevelType w:val="hybridMultilevel"/>
    <w:tmpl w:val="A348AD3E"/>
    <w:lvl w:ilvl="0" w:tplc="9928FCD0">
      <w:start w:val="1"/>
      <w:numFmt w:val="bullet"/>
      <w:lvlText w:val=""/>
      <w:lvlJc w:val="left"/>
      <w:pPr>
        <w:ind w:left="720" w:hanging="360"/>
      </w:pPr>
      <w:rPr>
        <w:rFonts w:ascii="Symbol" w:eastAsiaTheme="minorHAnsi" w:hAnsi="Symbol" w:cstheme="minorBidi"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802344F"/>
    <w:multiLevelType w:val="hybridMultilevel"/>
    <w:tmpl w:val="0FBAAD1C"/>
    <w:lvl w:ilvl="0" w:tplc="C8747DF6">
      <w:start w:val="1"/>
      <w:numFmt w:val="decimal"/>
      <w:lvlText w:val="%1."/>
      <w:lvlJc w:val="left"/>
      <w:pPr>
        <w:ind w:left="108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892559A"/>
    <w:multiLevelType w:val="hybridMultilevel"/>
    <w:tmpl w:val="6C4C37F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A73F0A"/>
    <w:multiLevelType w:val="hybridMultilevel"/>
    <w:tmpl w:val="90DAA0A4"/>
    <w:lvl w:ilvl="0" w:tplc="18090001">
      <w:start w:val="2"/>
      <w:numFmt w:val="bullet"/>
      <w:lvlText w:val=""/>
      <w:lvlJc w:val="left"/>
      <w:pPr>
        <w:ind w:left="720" w:hanging="36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C9666BC"/>
    <w:multiLevelType w:val="multilevel"/>
    <w:tmpl w:val="00DC32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52BD6BA7"/>
    <w:multiLevelType w:val="hybridMultilevel"/>
    <w:tmpl w:val="7E5AE1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6F71666"/>
    <w:multiLevelType w:val="hybridMultilevel"/>
    <w:tmpl w:val="98D83D00"/>
    <w:lvl w:ilvl="0" w:tplc="FF9C87FE">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9282174"/>
    <w:multiLevelType w:val="multilevel"/>
    <w:tmpl w:val="36EA183E"/>
    <w:lvl w:ilvl="0">
      <w:start w:val="5"/>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A0834BB"/>
    <w:multiLevelType w:val="hybridMultilevel"/>
    <w:tmpl w:val="62DE64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E7331E3"/>
    <w:multiLevelType w:val="multilevel"/>
    <w:tmpl w:val="A9FA45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C044E4"/>
    <w:multiLevelType w:val="multilevel"/>
    <w:tmpl w:val="ECFAB9CE"/>
    <w:lvl w:ilvl="0">
      <w:start w:val="4"/>
      <w:numFmt w:val="decimal"/>
      <w:lvlText w:val="%1."/>
      <w:lvlJc w:val="left"/>
      <w:pPr>
        <w:ind w:left="36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61122E4B"/>
    <w:multiLevelType w:val="multilevel"/>
    <w:tmpl w:val="A9FA45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5D742D"/>
    <w:multiLevelType w:val="hybridMultilevel"/>
    <w:tmpl w:val="59684DE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670B5866"/>
    <w:multiLevelType w:val="hybridMultilevel"/>
    <w:tmpl w:val="D2162810"/>
    <w:lvl w:ilvl="0" w:tplc="C8747DF6">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0" w15:restartNumberingAfterBreak="0">
    <w:nsid w:val="6AC711FC"/>
    <w:multiLevelType w:val="hybridMultilevel"/>
    <w:tmpl w:val="576AD39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6C751F83"/>
    <w:multiLevelType w:val="multilevel"/>
    <w:tmpl w:val="416AF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157207"/>
    <w:multiLevelType w:val="hybridMultilevel"/>
    <w:tmpl w:val="7772D62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72661193"/>
    <w:multiLevelType w:val="multilevel"/>
    <w:tmpl w:val="1C5C7082"/>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72A61DBA"/>
    <w:multiLevelType w:val="multilevel"/>
    <w:tmpl w:val="F0023534"/>
    <w:lvl w:ilvl="0">
      <w:start w:val="1"/>
      <w:numFmt w:val="bullet"/>
      <w:lvlText w:val=""/>
      <w:lvlJc w:val="left"/>
      <w:pPr>
        <w:tabs>
          <w:tab w:val="num" w:pos="648"/>
        </w:tabs>
        <w:ind w:left="648" w:hanging="360"/>
      </w:pPr>
      <w:rPr>
        <w:rFonts w:ascii="Symbol" w:hAnsi="Symbol" w:hint="default"/>
        <w:sz w:val="20"/>
      </w:rPr>
    </w:lvl>
    <w:lvl w:ilvl="1">
      <w:start w:val="2"/>
      <w:numFmt w:val="bullet"/>
      <w:lvlText w:val="-"/>
      <w:lvlJc w:val="left"/>
      <w:pPr>
        <w:ind w:left="1368" w:hanging="360"/>
      </w:pPr>
      <w:rPr>
        <w:rFonts w:ascii="Calibri" w:eastAsiaTheme="minorHAnsi" w:hAnsi="Calibri" w:cs="Calibri" w:hint="default"/>
      </w:rPr>
    </w:lvl>
    <w:lvl w:ilvl="2" w:tentative="1">
      <w:start w:val="1"/>
      <w:numFmt w:val="bullet"/>
      <w:lvlText w:val=""/>
      <w:lvlJc w:val="left"/>
      <w:pPr>
        <w:tabs>
          <w:tab w:val="num" w:pos="2088"/>
        </w:tabs>
        <w:ind w:left="2088" w:hanging="360"/>
      </w:pPr>
      <w:rPr>
        <w:rFonts w:ascii="Wingdings" w:hAnsi="Wingdings" w:hint="default"/>
        <w:sz w:val="20"/>
      </w:rPr>
    </w:lvl>
    <w:lvl w:ilvl="3" w:tentative="1">
      <w:start w:val="1"/>
      <w:numFmt w:val="bullet"/>
      <w:lvlText w:val=""/>
      <w:lvlJc w:val="left"/>
      <w:pPr>
        <w:tabs>
          <w:tab w:val="num" w:pos="2808"/>
        </w:tabs>
        <w:ind w:left="2808" w:hanging="360"/>
      </w:pPr>
      <w:rPr>
        <w:rFonts w:ascii="Wingdings" w:hAnsi="Wingdings" w:hint="default"/>
        <w:sz w:val="20"/>
      </w:rPr>
    </w:lvl>
    <w:lvl w:ilvl="4" w:tentative="1">
      <w:start w:val="1"/>
      <w:numFmt w:val="bullet"/>
      <w:lvlText w:val=""/>
      <w:lvlJc w:val="left"/>
      <w:pPr>
        <w:tabs>
          <w:tab w:val="num" w:pos="3528"/>
        </w:tabs>
        <w:ind w:left="3528" w:hanging="360"/>
      </w:pPr>
      <w:rPr>
        <w:rFonts w:ascii="Wingdings" w:hAnsi="Wingdings" w:hint="default"/>
        <w:sz w:val="20"/>
      </w:rPr>
    </w:lvl>
    <w:lvl w:ilvl="5" w:tentative="1">
      <w:start w:val="1"/>
      <w:numFmt w:val="bullet"/>
      <w:lvlText w:val=""/>
      <w:lvlJc w:val="left"/>
      <w:pPr>
        <w:tabs>
          <w:tab w:val="num" w:pos="4248"/>
        </w:tabs>
        <w:ind w:left="4248" w:hanging="360"/>
      </w:pPr>
      <w:rPr>
        <w:rFonts w:ascii="Wingdings" w:hAnsi="Wingdings" w:hint="default"/>
        <w:sz w:val="20"/>
      </w:rPr>
    </w:lvl>
    <w:lvl w:ilvl="6" w:tentative="1">
      <w:start w:val="1"/>
      <w:numFmt w:val="bullet"/>
      <w:lvlText w:val=""/>
      <w:lvlJc w:val="left"/>
      <w:pPr>
        <w:tabs>
          <w:tab w:val="num" w:pos="4968"/>
        </w:tabs>
        <w:ind w:left="4968" w:hanging="360"/>
      </w:pPr>
      <w:rPr>
        <w:rFonts w:ascii="Wingdings" w:hAnsi="Wingdings" w:hint="default"/>
        <w:sz w:val="20"/>
      </w:rPr>
    </w:lvl>
    <w:lvl w:ilvl="7" w:tentative="1">
      <w:start w:val="1"/>
      <w:numFmt w:val="bullet"/>
      <w:lvlText w:val=""/>
      <w:lvlJc w:val="left"/>
      <w:pPr>
        <w:tabs>
          <w:tab w:val="num" w:pos="5688"/>
        </w:tabs>
        <w:ind w:left="5688" w:hanging="360"/>
      </w:pPr>
      <w:rPr>
        <w:rFonts w:ascii="Wingdings" w:hAnsi="Wingdings" w:hint="default"/>
        <w:sz w:val="20"/>
      </w:rPr>
    </w:lvl>
    <w:lvl w:ilvl="8" w:tentative="1">
      <w:start w:val="1"/>
      <w:numFmt w:val="bullet"/>
      <w:lvlText w:val=""/>
      <w:lvlJc w:val="left"/>
      <w:pPr>
        <w:tabs>
          <w:tab w:val="num" w:pos="6408"/>
        </w:tabs>
        <w:ind w:left="6408" w:hanging="360"/>
      </w:pPr>
      <w:rPr>
        <w:rFonts w:ascii="Wingdings" w:hAnsi="Wingdings" w:hint="default"/>
        <w:sz w:val="20"/>
      </w:rPr>
    </w:lvl>
  </w:abstractNum>
  <w:abstractNum w:abstractNumId="35" w15:restartNumberingAfterBreak="0">
    <w:nsid w:val="763A678A"/>
    <w:multiLevelType w:val="hybridMultilevel"/>
    <w:tmpl w:val="C1F20B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95759DB"/>
    <w:multiLevelType w:val="hybridMultilevel"/>
    <w:tmpl w:val="D8A264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BE128B6"/>
    <w:multiLevelType w:val="multilevel"/>
    <w:tmpl w:val="A8EE25C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15:restartNumberingAfterBreak="0">
    <w:nsid w:val="7E0F48DB"/>
    <w:multiLevelType w:val="hybridMultilevel"/>
    <w:tmpl w:val="6C7C2B06"/>
    <w:lvl w:ilvl="0" w:tplc="1809000B">
      <w:start w:val="1"/>
      <w:numFmt w:val="bullet"/>
      <w:lvlText w:val=""/>
      <w:lvlJc w:val="left"/>
      <w:pPr>
        <w:ind w:left="1144" w:hanging="435"/>
      </w:pPr>
      <w:rPr>
        <w:rFonts w:ascii="Wingdings" w:hAnsi="Wingdings" w:hint="default"/>
      </w:rPr>
    </w:lvl>
    <w:lvl w:ilvl="1" w:tplc="18090003" w:tentative="1">
      <w:start w:val="1"/>
      <w:numFmt w:val="bullet"/>
      <w:lvlText w:val="o"/>
      <w:lvlJc w:val="left"/>
      <w:pPr>
        <w:ind w:left="1789" w:hanging="360"/>
      </w:pPr>
      <w:rPr>
        <w:rFonts w:ascii="Courier New" w:hAnsi="Courier New" w:cs="Courier New" w:hint="default"/>
      </w:rPr>
    </w:lvl>
    <w:lvl w:ilvl="2" w:tplc="18090005" w:tentative="1">
      <w:start w:val="1"/>
      <w:numFmt w:val="bullet"/>
      <w:lvlText w:val=""/>
      <w:lvlJc w:val="left"/>
      <w:pPr>
        <w:ind w:left="2509" w:hanging="360"/>
      </w:pPr>
      <w:rPr>
        <w:rFonts w:ascii="Wingdings" w:hAnsi="Wingdings" w:hint="default"/>
      </w:rPr>
    </w:lvl>
    <w:lvl w:ilvl="3" w:tplc="18090001" w:tentative="1">
      <w:start w:val="1"/>
      <w:numFmt w:val="bullet"/>
      <w:lvlText w:val=""/>
      <w:lvlJc w:val="left"/>
      <w:pPr>
        <w:ind w:left="3229" w:hanging="360"/>
      </w:pPr>
      <w:rPr>
        <w:rFonts w:ascii="Symbol" w:hAnsi="Symbol" w:hint="default"/>
      </w:rPr>
    </w:lvl>
    <w:lvl w:ilvl="4" w:tplc="18090003" w:tentative="1">
      <w:start w:val="1"/>
      <w:numFmt w:val="bullet"/>
      <w:lvlText w:val="o"/>
      <w:lvlJc w:val="left"/>
      <w:pPr>
        <w:ind w:left="3949" w:hanging="360"/>
      </w:pPr>
      <w:rPr>
        <w:rFonts w:ascii="Courier New" w:hAnsi="Courier New" w:cs="Courier New" w:hint="default"/>
      </w:rPr>
    </w:lvl>
    <w:lvl w:ilvl="5" w:tplc="18090005" w:tentative="1">
      <w:start w:val="1"/>
      <w:numFmt w:val="bullet"/>
      <w:lvlText w:val=""/>
      <w:lvlJc w:val="left"/>
      <w:pPr>
        <w:ind w:left="4669" w:hanging="360"/>
      </w:pPr>
      <w:rPr>
        <w:rFonts w:ascii="Wingdings" w:hAnsi="Wingdings" w:hint="default"/>
      </w:rPr>
    </w:lvl>
    <w:lvl w:ilvl="6" w:tplc="18090001" w:tentative="1">
      <w:start w:val="1"/>
      <w:numFmt w:val="bullet"/>
      <w:lvlText w:val=""/>
      <w:lvlJc w:val="left"/>
      <w:pPr>
        <w:ind w:left="5389" w:hanging="360"/>
      </w:pPr>
      <w:rPr>
        <w:rFonts w:ascii="Symbol" w:hAnsi="Symbol" w:hint="default"/>
      </w:rPr>
    </w:lvl>
    <w:lvl w:ilvl="7" w:tplc="18090003" w:tentative="1">
      <w:start w:val="1"/>
      <w:numFmt w:val="bullet"/>
      <w:lvlText w:val="o"/>
      <w:lvlJc w:val="left"/>
      <w:pPr>
        <w:ind w:left="6109" w:hanging="360"/>
      </w:pPr>
      <w:rPr>
        <w:rFonts w:ascii="Courier New" w:hAnsi="Courier New" w:cs="Courier New" w:hint="default"/>
      </w:rPr>
    </w:lvl>
    <w:lvl w:ilvl="8" w:tplc="18090005" w:tentative="1">
      <w:start w:val="1"/>
      <w:numFmt w:val="bullet"/>
      <w:lvlText w:val=""/>
      <w:lvlJc w:val="left"/>
      <w:pPr>
        <w:ind w:left="6829" w:hanging="360"/>
      </w:pPr>
      <w:rPr>
        <w:rFonts w:ascii="Wingdings" w:hAnsi="Wingdings" w:hint="default"/>
      </w:rPr>
    </w:lvl>
  </w:abstractNum>
  <w:abstractNum w:abstractNumId="39" w15:restartNumberingAfterBreak="0">
    <w:nsid w:val="7E6378E6"/>
    <w:multiLevelType w:val="hybridMultilevel"/>
    <w:tmpl w:val="CF5CB1F4"/>
    <w:lvl w:ilvl="0" w:tplc="1809000F">
      <w:start w:val="20"/>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2011829868">
    <w:abstractNumId w:val="36"/>
  </w:num>
  <w:num w:numId="2" w16cid:durableId="1680692716">
    <w:abstractNumId w:val="23"/>
  </w:num>
  <w:num w:numId="3" w16cid:durableId="1823812095">
    <w:abstractNumId w:val="13"/>
  </w:num>
  <w:num w:numId="4" w16cid:durableId="297614986">
    <w:abstractNumId w:val="3"/>
  </w:num>
  <w:num w:numId="5" w16cid:durableId="401215502">
    <w:abstractNumId w:val="38"/>
  </w:num>
  <w:num w:numId="6" w16cid:durableId="447629632">
    <w:abstractNumId w:val="4"/>
  </w:num>
  <w:num w:numId="7" w16cid:durableId="2097823554">
    <w:abstractNumId w:val="16"/>
  </w:num>
  <w:num w:numId="8" w16cid:durableId="1770084717">
    <w:abstractNumId w:val="29"/>
  </w:num>
  <w:num w:numId="9" w16cid:durableId="1525316195">
    <w:abstractNumId w:val="17"/>
  </w:num>
  <w:num w:numId="10" w16cid:durableId="641229605">
    <w:abstractNumId w:val="7"/>
  </w:num>
  <w:num w:numId="11" w16cid:durableId="584270603">
    <w:abstractNumId w:val="32"/>
  </w:num>
  <w:num w:numId="12" w16cid:durableId="701243913">
    <w:abstractNumId w:val="9"/>
  </w:num>
  <w:num w:numId="13" w16cid:durableId="1570074485">
    <w:abstractNumId w:val="15"/>
  </w:num>
  <w:num w:numId="14" w16cid:durableId="1938127800">
    <w:abstractNumId w:val="19"/>
  </w:num>
  <w:num w:numId="15" w16cid:durableId="966161572">
    <w:abstractNumId w:val="1"/>
  </w:num>
  <w:num w:numId="16" w16cid:durableId="661280574">
    <w:abstractNumId w:val="5"/>
  </w:num>
  <w:num w:numId="17" w16cid:durableId="1664242196">
    <w:abstractNumId w:val="8"/>
  </w:num>
  <w:num w:numId="18" w16cid:durableId="734818588">
    <w:abstractNumId w:val="18"/>
  </w:num>
  <w:num w:numId="19" w16cid:durableId="1979188165">
    <w:abstractNumId w:val="2"/>
  </w:num>
  <w:num w:numId="20" w16cid:durableId="156196499">
    <w:abstractNumId w:val="20"/>
  </w:num>
  <w:num w:numId="21" w16cid:durableId="469980590">
    <w:abstractNumId w:val="33"/>
  </w:num>
  <w:num w:numId="22" w16cid:durableId="1760908810">
    <w:abstractNumId w:val="26"/>
  </w:num>
  <w:num w:numId="23" w16cid:durableId="1227915213">
    <w:abstractNumId w:val="39"/>
  </w:num>
  <w:num w:numId="24" w16cid:durableId="1670449557">
    <w:abstractNumId w:val="14"/>
  </w:num>
  <w:num w:numId="25" w16cid:durableId="835607479">
    <w:abstractNumId w:val="27"/>
  </w:num>
  <w:num w:numId="26" w16cid:durableId="1671061211">
    <w:abstractNumId w:val="21"/>
  </w:num>
  <w:num w:numId="27" w16cid:durableId="1655648641">
    <w:abstractNumId w:val="34"/>
  </w:num>
  <w:num w:numId="28" w16cid:durableId="2040809706">
    <w:abstractNumId w:val="22"/>
  </w:num>
  <w:num w:numId="29" w16cid:durableId="488667346">
    <w:abstractNumId w:val="25"/>
  </w:num>
  <w:num w:numId="30" w16cid:durableId="260339337">
    <w:abstractNumId w:val="11"/>
  </w:num>
  <w:num w:numId="31" w16cid:durableId="433407698">
    <w:abstractNumId w:val="10"/>
  </w:num>
  <w:num w:numId="32" w16cid:durableId="744228415">
    <w:abstractNumId w:val="31"/>
  </w:num>
  <w:num w:numId="33" w16cid:durableId="547958505">
    <w:abstractNumId w:val="24"/>
  </w:num>
  <w:num w:numId="34" w16cid:durableId="473723777">
    <w:abstractNumId w:val="35"/>
  </w:num>
  <w:num w:numId="35" w16cid:durableId="540553350">
    <w:abstractNumId w:val="12"/>
  </w:num>
  <w:num w:numId="36" w16cid:durableId="366489705">
    <w:abstractNumId w:val="37"/>
  </w:num>
  <w:num w:numId="37" w16cid:durableId="815804584">
    <w:abstractNumId w:val="30"/>
  </w:num>
  <w:num w:numId="38" w16cid:durableId="1811709489">
    <w:abstractNumId w:val="6"/>
  </w:num>
  <w:num w:numId="39" w16cid:durableId="1233929974">
    <w:abstractNumId w:val="0"/>
  </w:num>
  <w:num w:numId="40" w16cid:durableId="88310438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075"/>
    <w:rsid w:val="00011E7D"/>
    <w:rsid w:val="0001648E"/>
    <w:rsid w:val="00035BF0"/>
    <w:rsid w:val="00044B62"/>
    <w:rsid w:val="000455C2"/>
    <w:rsid w:val="00056F10"/>
    <w:rsid w:val="000621B4"/>
    <w:rsid w:val="00081B53"/>
    <w:rsid w:val="000B2FC2"/>
    <w:rsid w:val="000B70AB"/>
    <w:rsid w:val="000E55BE"/>
    <w:rsid w:val="000F7840"/>
    <w:rsid w:val="00100066"/>
    <w:rsid w:val="00111B33"/>
    <w:rsid w:val="00115AFF"/>
    <w:rsid w:val="00126972"/>
    <w:rsid w:val="00146A09"/>
    <w:rsid w:val="00152680"/>
    <w:rsid w:val="0017054E"/>
    <w:rsid w:val="00194A25"/>
    <w:rsid w:val="001B229C"/>
    <w:rsid w:val="001D6BD7"/>
    <w:rsid w:val="001E1371"/>
    <w:rsid w:val="001F7962"/>
    <w:rsid w:val="00202A76"/>
    <w:rsid w:val="00213B25"/>
    <w:rsid w:val="00225C0A"/>
    <w:rsid w:val="0024701D"/>
    <w:rsid w:val="0025523D"/>
    <w:rsid w:val="00272CF5"/>
    <w:rsid w:val="002860BB"/>
    <w:rsid w:val="002A15B8"/>
    <w:rsid w:val="002B3474"/>
    <w:rsid w:val="002C0691"/>
    <w:rsid w:val="002C0F82"/>
    <w:rsid w:val="002D5B67"/>
    <w:rsid w:val="002F30F2"/>
    <w:rsid w:val="002F4B94"/>
    <w:rsid w:val="002F6AA4"/>
    <w:rsid w:val="003002F6"/>
    <w:rsid w:val="003123D7"/>
    <w:rsid w:val="00314163"/>
    <w:rsid w:val="00324DB9"/>
    <w:rsid w:val="00326D4E"/>
    <w:rsid w:val="00330E05"/>
    <w:rsid w:val="003409F5"/>
    <w:rsid w:val="0034512C"/>
    <w:rsid w:val="00345CD4"/>
    <w:rsid w:val="003A162C"/>
    <w:rsid w:val="003A40DA"/>
    <w:rsid w:val="003A7A2B"/>
    <w:rsid w:val="003B14A3"/>
    <w:rsid w:val="003C4794"/>
    <w:rsid w:val="003C758C"/>
    <w:rsid w:val="003E06BE"/>
    <w:rsid w:val="003E06E5"/>
    <w:rsid w:val="003F19F6"/>
    <w:rsid w:val="003F4B96"/>
    <w:rsid w:val="004147B6"/>
    <w:rsid w:val="00415036"/>
    <w:rsid w:val="00443406"/>
    <w:rsid w:val="004523D8"/>
    <w:rsid w:val="00453DB0"/>
    <w:rsid w:val="00456EEA"/>
    <w:rsid w:val="004A6086"/>
    <w:rsid w:val="004A6949"/>
    <w:rsid w:val="004C3E65"/>
    <w:rsid w:val="004C6F8D"/>
    <w:rsid w:val="004E1065"/>
    <w:rsid w:val="004F3B16"/>
    <w:rsid w:val="00501E62"/>
    <w:rsid w:val="00512D21"/>
    <w:rsid w:val="00515C1C"/>
    <w:rsid w:val="00517707"/>
    <w:rsid w:val="0052132A"/>
    <w:rsid w:val="0052157A"/>
    <w:rsid w:val="00526700"/>
    <w:rsid w:val="00540B09"/>
    <w:rsid w:val="00543A94"/>
    <w:rsid w:val="00545EAE"/>
    <w:rsid w:val="00547529"/>
    <w:rsid w:val="00553006"/>
    <w:rsid w:val="0056137E"/>
    <w:rsid w:val="005676F1"/>
    <w:rsid w:val="00573086"/>
    <w:rsid w:val="00581D00"/>
    <w:rsid w:val="005A067C"/>
    <w:rsid w:val="005D46E8"/>
    <w:rsid w:val="00617794"/>
    <w:rsid w:val="00631868"/>
    <w:rsid w:val="00636FF3"/>
    <w:rsid w:val="00642EED"/>
    <w:rsid w:val="0065618D"/>
    <w:rsid w:val="006764AA"/>
    <w:rsid w:val="00682B16"/>
    <w:rsid w:val="0068581A"/>
    <w:rsid w:val="00685E76"/>
    <w:rsid w:val="00691772"/>
    <w:rsid w:val="006C104F"/>
    <w:rsid w:val="006D53BF"/>
    <w:rsid w:val="006E6BF2"/>
    <w:rsid w:val="006F656A"/>
    <w:rsid w:val="00715D26"/>
    <w:rsid w:val="00735075"/>
    <w:rsid w:val="00745985"/>
    <w:rsid w:val="00752C88"/>
    <w:rsid w:val="007609E5"/>
    <w:rsid w:val="007674C7"/>
    <w:rsid w:val="00784789"/>
    <w:rsid w:val="00791D88"/>
    <w:rsid w:val="00791EA5"/>
    <w:rsid w:val="007943E8"/>
    <w:rsid w:val="00794AEF"/>
    <w:rsid w:val="007C4003"/>
    <w:rsid w:val="007D2761"/>
    <w:rsid w:val="007D3D27"/>
    <w:rsid w:val="007F1990"/>
    <w:rsid w:val="007F5044"/>
    <w:rsid w:val="008061A2"/>
    <w:rsid w:val="00814A72"/>
    <w:rsid w:val="00820079"/>
    <w:rsid w:val="00820D67"/>
    <w:rsid w:val="008244EF"/>
    <w:rsid w:val="008338FD"/>
    <w:rsid w:val="00852815"/>
    <w:rsid w:val="008774B6"/>
    <w:rsid w:val="0089662C"/>
    <w:rsid w:val="00896FDE"/>
    <w:rsid w:val="008A2867"/>
    <w:rsid w:val="008A5161"/>
    <w:rsid w:val="008B5CA5"/>
    <w:rsid w:val="008B5CD6"/>
    <w:rsid w:val="008C10F2"/>
    <w:rsid w:val="008E111D"/>
    <w:rsid w:val="008E6164"/>
    <w:rsid w:val="008F5551"/>
    <w:rsid w:val="00905A9A"/>
    <w:rsid w:val="00907994"/>
    <w:rsid w:val="00912CE8"/>
    <w:rsid w:val="0091712C"/>
    <w:rsid w:val="00917715"/>
    <w:rsid w:val="0092291D"/>
    <w:rsid w:val="009348FE"/>
    <w:rsid w:val="00935DF2"/>
    <w:rsid w:val="009474C2"/>
    <w:rsid w:val="00947E3E"/>
    <w:rsid w:val="00967F64"/>
    <w:rsid w:val="009724D5"/>
    <w:rsid w:val="009904C9"/>
    <w:rsid w:val="00990D67"/>
    <w:rsid w:val="009A7CFE"/>
    <w:rsid w:val="009C04E2"/>
    <w:rsid w:val="009C1C8E"/>
    <w:rsid w:val="009C2B52"/>
    <w:rsid w:val="009C516B"/>
    <w:rsid w:val="009D0340"/>
    <w:rsid w:val="009D330C"/>
    <w:rsid w:val="009D75AF"/>
    <w:rsid w:val="009F6549"/>
    <w:rsid w:val="009F658D"/>
    <w:rsid w:val="00A1588B"/>
    <w:rsid w:val="00A468CB"/>
    <w:rsid w:val="00A759C4"/>
    <w:rsid w:val="00A83E93"/>
    <w:rsid w:val="00A94CA1"/>
    <w:rsid w:val="00A97001"/>
    <w:rsid w:val="00AA74F6"/>
    <w:rsid w:val="00AB3FC6"/>
    <w:rsid w:val="00AC05CF"/>
    <w:rsid w:val="00AC51E5"/>
    <w:rsid w:val="00AC600F"/>
    <w:rsid w:val="00AD2546"/>
    <w:rsid w:val="00AE0397"/>
    <w:rsid w:val="00AE1CAA"/>
    <w:rsid w:val="00AE2935"/>
    <w:rsid w:val="00AF0811"/>
    <w:rsid w:val="00B12D43"/>
    <w:rsid w:val="00B2018C"/>
    <w:rsid w:val="00B225FE"/>
    <w:rsid w:val="00B26739"/>
    <w:rsid w:val="00B30413"/>
    <w:rsid w:val="00B3630F"/>
    <w:rsid w:val="00B47B9A"/>
    <w:rsid w:val="00B60CBA"/>
    <w:rsid w:val="00B70A48"/>
    <w:rsid w:val="00B80190"/>
    <w:rsid w:val="00B9705F"/>
    <w:rsid w:val="00BC11A6"/>
    <w:rsid w:val="00BE5E39"/>
    <w:rsid w:val="00C13910"/>
    <w:rsid w:val="00C21B03"/>
    <w:rsid w:val="00C464E2"/>
    <w:rsid w:val="00C5078D"/>
    <w:rsid w:val="00C513BC"/>
    <w:rsid w:val="00C61DD7"/>
    <w:rsid w:val="00C7351A"/>
    <w:rsid w:val="00C95C33"/>
    <w:rsid w:val="00C97454"/>
    <w:rsid w:val="00CB48BD"/>
    <w:rsid w:val="00CC55E9"/>
    <w:rsid w:val="00CD71D5"/>
    <w:rsid w:val="00CE6407"/>
    <w:rsid w:val="00CF32F7"/>
    <w:rsid w:val="00D04E39"/>
    <w:rsid w:val="00D06D0A"/>
    <w:rsid w:val="00D07173"/>
    <w:rsid w:val="00D074F3"/>
    <w:rsid w:val="00D1064B"/>
    <w:rsid w:val="00D14458"/>
    <w:rsid w:val="00D15A8C"/>
    <w:rsid w:val="00D4516B"/>
    <w:rsid w:val="00D56D9A"/>
    <w:rsid w:val="00D656E0"/>
    <w:rsid w:val="00D701B0"/>
    <w:rsid w:val="00D705A5"/>
    <w:rsid w:val="00D81348"/>
    <w:rsid w:val="00D837D5"/>
    <w:rsid w:val="00D85F27"/>
    <w:rsid w:val="00DA12CE"/>
    <w:rsid w:val="00DA1D0E"/>
    <w:rsid w:val="00DB3D66"/>
    <w:rsid w:val="00DD26EA"/>
    <w:rsid w:val="00DF553D"/>
    <w:rsid w:val="00E03CAF"/>
    <w:rsid w:val="00E04126"/>
    <w:rsid w:val="00E0681C"/>
    <w:rsid w:val="00E12FF7"/>
    <w:rsid w:val="00E144D3"/>
    <w:rsid w:val="00E175F4"/>
    <w:rsid w:val="00E21D8C"/>
    <w:rsid w:val="00E336E4"/>
    <w:rsid w:val="00E5144A"/>
    <w:rsid w:val="00E60561"/>
    <w:rsid w:val="00E71B8E"/>
    <w:rsid w:val="00E75520"/>
    <w:rsid w:val="00E76106"/>
    <w:rsid w:val="00E81B57"/>
    <w:rsid w:val="00E94C76"/>
    <w:rsid w:val="00E94E9B"/>
    <w:rsid w:val="00EA309D"/>
    <w:rsid w:val="00EB109E"/>
    <w:rsid w:val="00EC3C15"/>
    <w:rsid w:val="00ED3AE0"/>
    <w:rsid w:val="00EE59B3"/>
    <w:rsid w:val="00EE659F"/>
    <w:rsid w:val="00EF13E4"/>
    <w:rsid w:val="00EF1DB8"/>
    <w:rsid w:val="00EF5127"/>
    <w:rsid w:val="00EF5ADA"/>
    <w:rsid w:val="00EF5CE2"/>
    <w:rsid w:val="00EF7EF9"/>
    <w:rsid w:val="00F00413"/>
    <w:rsid w:val="00F07C82"/>
    <w:rsid w:val="00F11BE4"/>
    <w:rsid w:val="00F345D0"/>
    <w:rsid w:val="00F471C7"/>
    <w:rsid w:val="00F64961"/>
    <w:rsid w:val="00F70092"/>
    <w:rsid w:val="00F83515"/>
    <w:rsid w:val="00F94769"/>
    <w:rsid w:val="00FA16EE"/>
    <w:rsid w:val="00FC12A9"/>
    <w:rsid w:val="00FC4839"/>
    <w:rsid w:val="00FC52EF"/>
    <w:rsid w:val="00FD39FA"/>
    <w:rsid w:val="00FD4F0F"/>
    <w:rsid w:val="00FD619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72EF1"/>
  <w15:chartTrackingRefBased/>
  <w15:docId w15:val="{3EF5CABA-DFDD-4A50-92A1-4F7128158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949"/>
    <w:rPr>
      <w:rFonts w:ascii="Times New Roman" w:eastAsia="Times New Roman" w:hAnsi="Times New Roman" w:cs="Times New Roman"/>
      <w:sz w:val="24"/>
      <w:szCs w:val="20"/>
      <w:lang w:val="en-GB"/>
    </w:rPr>
  </w:style>
  <w:style w:type="paragraph" w:styleId="Heading1">
    <w:name w:val="heading 1"/>
    <w:basedOn w:val="Normal"/>
    <w:next w:val="Normal"/>
    <w:link w:val="Heading1Char"/>
    <w:uiPriority w:val="9"/>
    <w:qFormat/>
    <w:rsid w:val="00324DB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A6949"/>
    <w:pPr>
      <w:keepNext/>
      <w:autoSpaceDE w:val="0"/>
      <w:autoSpaceDN w:val="0"/>
      <w:adjustRightInd w:val="0"/>
      <w:outlineLvl w:val="1"/>
    </w:pPr>
    <w:rPr>
      <w:b/>
      <w:bCs/>
      <w:lang w:val="x-none"/>
    </w:rPr>
  </w:style>
  <w:style w:type="paragraph" w:styleId="Heading3">
    <w:name w:val="heading 3"/>
    <w:basedOn w:val="Normal"/>
    <w:next w:val="Normal"/>
    <w:link w:val="Heading3Char"/>
    <w:qFormat/>
    <w:rsid w:val="004A6949"/>
    <w:pPr>
      <w:keepNext/>
      <w:autoSpaceDE w:val="0"/>
      <w:autoSpaceDN w:val="0"/>
      <w:adjustRightInd w:val="0"/>
      <w:ind w:left="360"/>
      <w:outlineLvl w:val="2"/>
    </w:pPr>
    <w:rPr>
      <w:b/>
      <w:bCs/>
      <w:i/>
      <w:iCs/>
      <w:lang w:val="x-none"/>
    </w:rPr>
  </w:style>
  <w:style w:type="paragraph" w:styleId="Heading6">
    <w:name w:val="heading 6"/>
    <w:basedOn w:val="Normal"/>
    <w:next w:val="Normal"/>
    <w:link w:val="Heading6Char"/>
    <w:qFormat/>
    <w:rsid w:val="004A6949"/>
    <w:pPr>
      <w:keepNext/>
      <w:ind w:left="720" w:hanging="720"/>
      <w:jc w:val="both"/>
      <w:outlineLvl w:val="5"/>
    </w:pPr>
    <w:rPr>
      <w:b/>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949"/>
    <w:pPr>
      <w:tabs>
        <w:tab w:val="center" w:pos="4513"/>
        <w:tab w:val="right" w:pos="9026"/>
      </w:tabs>
    </w:pPr>
  </w:style>
  <w:style w:type="character" w:customStyle="1" w:styleId="HeaderChar">
    <w:name w:val="Header Char"/>
    <w:basedOn w:val="DefaultParagraphFont"/>
    <w:link w:val="Header"/>
    <w:uiPriority w:val="99"/>
    <w:rsid w:val="004A6949"/>
  </w:style>
  <w:style w:type="paragraph" w:styleId="Footer">
    <w:name w:val="footer"/>
    <w:basedOn w:val="Normal"/>
    <w:link w:val="FooterChar"/>
    <w:uiPriority w:val="99"/>
    <w:unhideWhenUsed/>
    <w:rsid w:val="004A6949"/>
    <w:pPr>
      <w:tabs>
        <w:tab w:val="center" w:pos="4513"/>
        <w:tab w:val="right" w:pos="9026"/>
      </w:tabs>
    </w:pPr>
  </w:style>
  <w:style w:type="character" w:customStyle="1" w:styleId="FooterChar">
    <w:name w:val="Footer Char"/>
    <w:basedOn w:val="DefaultParagraphFont"/>
    <w:link w:val="Footer"/>
    <w:uiPriority w:val="99"/>
    <w:rsid w:val="004A6949"/>
  </w:style>
  <w:style w:type="character" w:customStyle="1" w:styleId="Heading2Char">
    <w:name w:val="Heading 2 Char"/>
    <w:basedOn w:val="DefaultParagraphFont"/>
    <w:link w:val="Heading2"/>
    <w:rsid w:val="004A6949"/>
    <w:rPr>
      <w:rFonts w:ascii="Times New Roman" w:eastAsia="Times New Roman" w:hAnsi="Times New Roman" w:cs="Times New Roman"/>
      <w:b/>
      <w:bCs/>
      <w:sz w:val="24"/>
      <w:szCs w:val="20"/>
      <w:lang w:val="x-none"/>
    </w:rPr>
  </w:style>
  <w:style w:type="character" w:customStyle="1" w:styleId="Heading3Char">
    <w:name w:val="Heading 3 Char"/>
    <w:basedOn w:val="DefaultParagraphFont"/>
    <w:link w:val="Heading3"/>
    <w:rsid w:val="004A6949"/>
    <w:rPr>
      <w:rFonts w:ascii="Times New Roman" w:eastAsia="Times New Roman" w:hAnsi="Times New Roman" w:cs="Times New Roman"/>
      <w:b/>
      <w:bCs/>
      <w:i/>
      <w:iCs/>
      <w:sz w:val="24"/>
      <w:szCs w:val="20"/>
      <w:lang w:val="x-none"/>
    </w:rPr>
  </w:style>
  <w:style w:type="character" w:customStyle="1" w:styleId="Heading6Char">
    <w:name w:val="Heading 6 Char"/>
    <w:basedOn w:val="DefaultParagraphFont"/>
    <w:link w:val="Heading6"/>
    <w:rsid w:val="004A6949"/>
    <w:rPr>
      <w:rFonts w:ascii="Times New Roman" w:eastAsia="Times New Roman" w:hAnsi="Times New Roman" w:cs="Times New Roman"/>
      <w:b/>
      <w:i/>
      <w:iCs/>
      <w:sz w:val="24"/>
      <w:szCs w:val="24"/>
      <w:lang w:val="en-GB"/>
    </w:rPr>
  </w:style>
  <w:style w:type="paragraph" w:styleId="BodyTextIndent">
    <w:name w:val="Body Text Indent"/>
    <w:basedOn w:val="Normal"/>
    <w:link w:val="BodyTextIndentChar"/>
    <w:semiHidden/>
    <w:rsid w:val="004A6949"/>
    <w:pPr>
      <w:ind w:left="720" w:hanging="720"/>
      <w:jc w:val="center"/>
    </w:pPr>
    <w:rPr>
      <w:color w:val="000000"/>
      <w:szCs w:val="24"/>
    </w:rPr>
  </w:style>
  <w:style w:type="character" w:customStyle="1" w:styleId="BodyTextIndentChar">
    <w:name w:val="Body Text Indent Char"/>
    <w:basedOn w:val="DefaultParagraphFont"/>
    <w:link w:val="BodyTextIndent"/>
    <w:semiHidden/>
    <w:rsid w:val="004A6949"/>
    <w:rPr>
      <w:rFonts w:ascii="Times New Roman" w:eastAsia="Times New Roman" w:hAnsi="Times New Roman" w:cs="Times New Roman"/>
      <w:color w:val="000000"/>
      <w:sz w:val="24"/>
      <w:szCs w:val="24"/>
      <w:lang w:val="en-GB"/>
    </w:rPr>
  </w:style>
  <w:style w:type="paragraph" w:styleId="BodyText">
    <w:name w:val="Body Text"/>
    <w:basedOn w:val="Normal"/>
    <w:link w:val="BodyTextChar"/>
    <w:semiHidden/>
    <w:rsid w:val="004A6949"/>
    <w:rPr>
      <w:sz w:val="26"/>
    </w:rPr>
  </w:style>
  <w:style w:type="character" w:customStyle="1" w:styleId="BodyTextChar">
    <w:name w:val="Body Text Char"/>
    <w:basedOn w:val="DefaultParagraphFont"/>
    <w:link w:val="BodyText"/>
    <w:semiHidden/>
    <w:rsid w:val="004A6949"/>
    <w:rPr>
      <w:rFonts w:ascii="Times New Roman" w:eastAsia="Times New Roman" w:hAnsi="Times New Roman" w:cs="Times New Roman"/>
      <w:sz w:val="26"/>
      <w:szCs w:val="20"/>
      <w:lang w:val="en-GB"/>
    </w:rPr>
  </w:style>
  <w:style w:type="paragraph" w:styleId="BodyTextIndent2">
    <w:name w:val="Body Text Indent 2"/>
    <w:basedOn w:val="Normal"/>
    <w:link w:val="BodyTextIndent2Char"/>
    <w:semiHidden/>
    <w:rsid w:val="004A6949"/>
    <w:pPr>
      <w:ind w:left="567" w:hanging="567"/>
    </w:pPr>
  </w:style>
  <w:style w:type="character" w:customStyle="1" w:styleId="BodyTextIndent2Char">
    <w:name w:val="Body Text Indent 2 Char"/>
    <w:basedOn w:val="DefaultParagraphFont"/>
    <w:link w:val="BodyTextIndent2"/>
    <w:semiHidden/>
    <w:rsid w:val="004A6949"/>
    <w:rPr>
      <w:rFonts w:ascii="Times New Roman" w:eastAsia="Times New Roman" w:hAnsi="Times New Roman" w:cs="Times New Roman"/>
      <w:sz w:val="24"/>
      <w:szCs w:val="20"/>
      <w:lang w:val="en-GB"/>
    </w:rPr>
  </w:style>
  <w:style w:type="paragraph" w:styleId="BodyText2">
    <w:name w:val="Body Text 2"/>
    <w:basedOn w:val="Normal"/>
    <w:link w:val="BodyText2Char"/>
    <w:semiHidden/>
    <w:rsid w:val="004A6949"/>
    <w:pPr>
      <w:jc w:val="both"/>
    </w:pPr>
    <w:rPr>
      <w:szCs w:val="24"/>
    </w:rPr>
  </w:style>
  <w:style w:type="character" w:customStyle="1" w:styleId="BodyText2Char">
    <w:name w:val="Body Text 2 Char"/>
    <w:basedOn w:val="DefaultParagraphFont"/>
    <w:link w:val="BodyText2"/>
    <w:semiHidden/>
    <w:rsid w:val="004A6949"/>
    <w:rPr>
      <w:rFonts w:ascii="Times New Roman" w:eastAsia="Times New Roman" w:hAnsi="Times New Roman" w:cs="Times New Roman"/>
      <w:sz w:val="24"/>
      <w:szCs w:val="24"/>
      <w:lang w:val="en-GB"/>
    </w:rPr>
  </w:style>
  <w:style w:type="character" w:styleId="Hyperlink">
    <w:name w:val="Hyperlink"/>
    <w:uiPriority w:val="99"/>
    <w:semiHidden/>
    <w:rsid w:val="004A6949"/>
    <w:rPr>
      <w:color w:val="0000FF"/>
      <w:u w:val="single"/>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Bullet 1,igunore,My Style"/>
    <w:basedOn w:val="Normal"/>
    <w:link w:val="ListParagraphChar"/>
    <w:uiPriority w:val="34"/>
    <w:qFormat/>
    <w:rsid w:val="004A6949"/>
    <w:pPr>
      <w:ind w:left="720"/>
    </w:pPr>
  </w:style>
  <w:style w:type="character" w:styleId="CommentReference">
    <w:name w:val="annotation reference"/>
    <w:basedOn w:val="DefaultParagraphFont"/>
    <w:uiPriority w:val="99"/>
    <w:unhideWhenUsed/>
    <w:rsid w:val="00C5078D"/>
    <w:rPr>
      <w:sz w:val="16"/>
      <w:szCs w:val="16"/>
    </w:rPr>
  </w:style>
  <w:style w:type="paragraph" w:styleId="CommentText">
    <w:name w:val="annotation text"/>
    <w:basedOn w:val="Normal"/>
    <w:link w:val="CommentTextChar"/>
    <w:uiPriority w:val="99"/>
    <w:unhideWhenUsed/>
    <w:rsid w:val="00C5078D"/>
    <w:rPr>
      <w:sz w:val="20"/>
    </w:rPr>
  </w:style>
  <w:style w:type="character" w:customStyle="1" w:styleId="CommentTextChar">
    <w:name w:val="Comment Text Char"/>
    <w:basedOn w:val="DefaultParagraphFont"/>
    <w:link w:val="CommentText"/>
    <w:uiPriority w:val="99"/>
    <w:rsid w:val="00C5078D"/>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C5078D"/>
    <w:rPr>
      <w:b/>
      <w:bCs/>
    </w:rPr>
  </w:style>
  <w:style w:type="character" w:customStyle="1" w:styleId="CommentSubjectChar">
    <w:name w:val="Comment Subject Char"/>
    <w:basedOn w:val="CommentTextChar"/>
    <w:link w:val="CommentSubject"/>
    <w:uiPriority w:val="99"/>
    <w:semiHidden/>
    <w:rsid w:val="00C5078D"/>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C507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078D"/>
    <w:rPr>
      <w:rFonts w:ascii="Segoe UI" w:eastAsia="Times New Roman" w:hAnsi="Segoe UI" w:cs="Segoe UI"/>
      <w:sz w:val="18"/>
      <w:szCs w:val="18"/>
      <w:lang w:val="en-GB"/>
    </w:rPr>
  </w:style>
  <w:style w:type="paragraph" w:styleId="PlainText">
    <w:name w:val="Plain Text"/>
    <w:basedOn w:val="Normal"/>
    <w:link w:val="PlainTextChar"/>
    <w:uiPriority w:val="99"/>
    <w:unhideWhenUsed/>
    <w:rsid w:val="00E71B8E"/>
    <w:rPr>
      <w:rFonts w:ascii="Consolas" w:eastAsia="Calibri" w:hAnsi="Consolas"/>
      <w:sz w:val="21"/>
      <w:szCs w:val="21"/>
      <w:lang w:val="en-IE"/>
    </w:rPr>
  </w:style>
  <w:style w:type="character" w:customStyle="1" w:styleId="PlainTextChar">
    <w:name w:val="Plain Text Char"/>
    <w:basedOn w:val="DefaultParagraphFont"/>
    <w:link w:val="PlainText"/>
    <w:uiPriority w:val="99"/>
    <w:rsid w:val="00E71B8E"/>
    <w:rPr>
      <w:rFonts w:ascii="Consolas" w:eastAsia="Calibri" w:hAnsi="Consolas" w:cs="Times New Roman"/>
      <w:sz w:val="21"/>
      <w:szCs w:val="21"/>
    </w:rPr>
  </w:style>
  <w:style w:type="table" w:styleId="GridTable4-Accent1">
    <w:name w:val="Grid Table 4 Accent 1"/>
    <w:basedOn w:val="TableNormal"/>
    <w:uiPriority w:val="49"/>
    <w:rsid w:val="002860BB"/>
    <w:pPr>
      <w:spacing w:after="0"/>
    </w:pPr>
    <w:rPr>
      <w:rFonts w:ascii="Times New Roman" w:eastAsia="Times New Roman" w:hAnsi="Times New Roman" w:cs="Times New Roman"/>
      <w:sz w:val="20"/>
      <w:szCs w:val="20"/>
      <w:lang w:val="en-US"/>
    </w:rPr>
    <w:tblPr>
      <w:tblStyleRowBandSize w:val="1"/>
      <w:tblStyleColBandSize w:val="1"/>
      <w:tblInd w:w="0" w:type="nil"/>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ui-provider">
    <w:name w:val="ui-provider"/>
    <w:basedOn w:val="DefaultParagraphFont"/>
    <w:rsid w:val="00324DB9"/>
  </w:style>
  <w:style w:type="character" w:customStyle="1" w:styleId="Heading1Char">
    <w:name w:val="Heading 1 Char"/>
    <w:basedOn w:val="DefaultParagraphFont"/>
    <w:link w:val="Heading1"/>
    <w:uiPriority w:val="9"/>
    <w:rsid w:val="00324DB9"/>
    <w:rPr>
      <w:rFonts w:asciiTheme="majorHAnsi" w:eastAsiaTheme="majorEastAsia" w:hAnsiTheme="majorHAnsi" w:cstheme="majorBidi"/>
      <w:color w:val="2E74B5" w:themeColor="accent1" w:themeShade="BF"/>
      <w:sz w:val="32"/>
      <w:szCs w:val="32"/>
      <w:lang w:val="en-GB"/>
    </w:rPr>
  </w:style>
  <w:style w:type="character" w:styleId="UnresolvedMention">
    <w:name w:val="Unresolved Mention"/>
    <w:basedOn w:val="DefaultParagraphFont"/>
    <w:uiPriority w:val="99"/>
    <w:semiHidden/>
    <w:unhideWhenUsed/>
    <w:rsid w:val="009F658D"/>
    <w:rPr>
      <w:color w:val="605E5C"/>
      <w:shd w:val="clear" w:color="auto" w:fill="E1DFDD"/>
    </w:rPr>
  </w:style>
  <w:style w:type="character" w:styleId="FollowedHyperlink">
    <w:name w:val="FollowedHyperlink"/>
    <w:basedOn w:val="DefaultParagraphFont"/>
    <w:uiPriority w:val="99"/>
    <w:semiHidden/>
    <w:unhideWhenUsed/>
    <w:rsid w:val="00E60561"/>
    <w:rPr>
      <w:color w:val="954F72" w:themeColor="followedHyperlink"/>
      <w:u w:val="single"/>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basedOn w:val="DefaultParagraphFont"/>
    <w:link w:val="ListParagraph"/>
    <w:uiPriority w:val="34"/>
    <w:qFormat/>
    <w:locked/>
    <w:rsid w:val="00545EAE"/>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02505">
      <w:bodyDiv w:val="1"/>
      <w:marLeft w:val="0"/>
      <w:marRight w:val="0"/>
      <w:marTop w:val="0"/>
      <w:marBottom w:val="0"/>
      <w:divBdr>
        <w:top w:val="none" w:sz="0" w:space="0" w:color="auto"/>
        <w:left w:val="none" w:sz="0" w:space="0" w:color="auto"/>
        <w:bottom w:val="none" w:sz="0" w:space="0" w:color="auto"/>
        <w:right w:val="none" w:sz="0" w:space="0" w:color="auto"/>
      </w:divBdr>
    </w:div>
    <w:div w:id="549389531">
      <w:bodyDiv w:val="1"/>
      <w:marLeft w:val="0"/>
      <w:marRight w:val="0"/>
      <w:marTop w:val="0"/>
      <w:marBottom w:val="0"/>
      <w:divBdr>
        <w:top w:val="none" w:sz="0" w:space="0" w:color="auto"/>
        <w:left w:val="none" w:sz="0" w:space="0" w:color="auto"/>
        <w:bottom w:val="none" w:sz="0" w:space="0" w:color="auto"/>
        <w:right w:val="none" w:sz="0" w:space="0" w:color="auto"/>
      </w:divBdr>
    </w:div>
    <w:div w:id="946886465">
      <w:bodyDiv w:val="1"/>
      <w:marLeft w:val="0"/>
      <w:marRight w:val="0"/>
      <w:marTop w:val="0"/>
      <w:marBottom w:val="0"/>
      <w:divBdr>
        <w:top w:val="none" w:sz="0" w:space="0" w:color="auto"/>
        <w:left w:val="none" w:sz="0" w:space="0" w:color="auto"/>
        <w:bottom w:val="none" w:sz="0" w:space="0" w:color="auto"/>
        <w:right w:val="none" w:sz="0" w:space="0" w:color="auto"/>
      </w:divBdr>
    </w:div>
    <w:div w:id="1453287318">
      <w:bodyDiv w:val="1"/>
      <w:marLeft w:val="0"/>
      <w:marRight w:val="0"/>
      <w:marTop w:val="0"/>
      <w:marBottom w:val="0"/>
      <w:divBdr>
        <w:top w:val="none" w:sz="0" w:space="0" w:color="auto"/>
        <w:left w:val="none" w:sz="0" w:space="0" w:color="auto"/>
        <w:bottom w:val="none" w:sz="0" w:space="0" w:color="auto"/>
        <w:right w:val="none" w:sz="0" w:space="0" w:color="auto"/>
      </w:divBdr>
    </w:div>
    <w:div w:id="1471315204">
      <w:bodyDiv w:val="1"/>
      <w:marLeft w:val="0"/>
      <w:marRight w:val="0"/>
      <w:marTop w:val="0"/>
      <w:marBottom w:val="0"/>
      <w:divBdr>
        <w:top w:val="none" w:sz="0" w:space="0" w:color="auto"/>
        <w:left w:val="none" w:sz="0" w:space="0" w:color="auto"/>
        <w:bottom w:val="none" w:sz="0" w:space="0" w:color="auto"/>
        <w:right w:val="none" w:sz="0" w:space="0" w:color="auto"/>
      </w:divBdr>
    </w:div>
    <w:div w:id="1849439036">
      <w:bodyDiv w:val="1"/>
      <w:marLeft w:val="0"/>
      <w:marRight w:val="0"/>
      <w:marTop w:val="0"/>
      <w:marBottom w:val="0"/>
      <w:divBdr>
        <w:top w:val="none" w:sz="0" w:space="0" w:color="auto"/>
        <w:left w:val="none" w:sz="0" w:space="0" w:color="auto"/>
        <w:bottom w:val="none" w:sz="0" w:space="0" w:color="auto"/>
        <w:right w:val="none" w:sz="0" w:space="0" w:color="auto"/>
      </w:divBdr>
      <w:divsChild>
        <w:div w:id="744105775">
          <w:marLeft w:val="0"/>
          <w:marRight w:val="0"/>
          <w:marTop w:val="0"/>
          <w:marBottom w:val="300"/>
          <w:divBdr>
            <w:top w:val="none" w:sz="0" w:space="0" w:color="auto"/>
            <w:left w:val="none" w:sz="0" w:space="0" w:color="auto"/>
            <w:bottom w:val="none" w:sz="0" w:space="0" w:color="auto"/>
            <w:right w:val="none" w:sz="0" w:space="0" w:color="auto"/>
          </w:divBdr>
          <w:divsChild>
            <w:div w:id="949551515">
              <w:marLeft w:val="-225"/>
              <w:marRight w:val="-225"/>
              <w:marTop w:val="0"/>
              <w:marBottom w:val="0"/>
              <w:divBdr>
                <w:top w:val="none" w:sz="0" w:space="0" w:color="auto"/>
                <w:left w:val="none" w:sz="0" w:space="0" w:color="auto"/>
                <w:bottom w:val="none" w:sz="0" w:space="0" w:color="auto"/>
                <w:right w:val="none" w:sz="0" w:space="0" w:color="auto"/>
              </w:divBdr>
            </w:div>
          </w:divsChild>
        </w:div>
        <w:div w:id="2039697934">
          <w:marLeft w:val="0"/>
          <w:marRight w:val="0"/>
          <w:marTop w:val="0"/>
          <w:marBottom w:val="300"/>
          <w:divBdr>
            <w:top w:val="none" w:sz="0" w:space="0" w:color="auto"/>
            <w:left w:val="none" w:sz="0" w:space="0" w:color="auto"/>
            <w:bottom w:val="none" w:sz="0" w:space="0" w:color="auto"/>
            <w:right w:val="none" w:sz="0" w:space="0" w:color="auto"/>
          </w:divBdr>
          <w:divsChild>
            <w:div w:id="1164202967">
              <w:marLeft w:val="-225"/>
              <w:marRight w:val="-225"/>
              <w:marTop w:val="0"/>
              <w:marBottom w:val="0"/>
              <w:divBdr>
                <w:top w:val="none" w:sz="0" w:space="0" w:color="auto"/>
                <w:left w:val="none" w:sz="0" w:space="0" w:color="auto"/>
                <w:bottom w:val="none" w:sz="0" w:space="0" w:color="auto"/>
                <w:right w:val="none" w:sz="0" w:space="0" w:color="auto"/>
              </w:divBdr>
            </w:div>
          </w:divsChild>
        </w:div>
        <w:div w:id="627585348">
          <w:marLeft w:val="0"/>
          <w:marRight w:val="0"/>
          <w:marTop w:val="0"/>
          <w:marBottom w:val="300"/>
          <w:divBdr>
            <w:top w:val="none" w:sz="0" w:space="0" w:color="auto"/>
            <w:left w:val="none" w:sz="0" w:space="0" w:color="auto"/>
            <w:bottom w:val="none" w:sz="0" w:space="0" w:color="auto"/>
            <w:right w:val="none" w:sz="0" w:space="0" w:color="auto"/>
          </w:divBdr>
          <w:divsChild>
            <w:div w:id="145443282">
              <w:marLeft w:val="-225"/>
              <w:marRight w:val="-225"/>
              <w:marTop w:val="0"/>
              <w:marBottom w:val="0"/>
              <w:divBdr>
                <w:top w:val="none" w:sz="0" w:space="0" w:color="auto"/>
                <w:left w:val="none" w:sz="0" w:space="0" w:color="auto"/>
                <w:bottom w:val="none" w:sz="0" w:space="0" w:color="auto"/>
                <w:right w:val="none" w:sz="0" w:space="0" w:color="auto"/>
              </w:divBdr>
            </w:div>
          </w:divsChild>
        </w:div>
        <w:div w:id="170724120">
          <w:marLeft w:val="0"/>
          <w:marRight w:val="0"/>
          <w:marTop w:val="0"/>
          <w:marBottom w:val="300"/>
          <w:divBdr>
            <w:top w:val="none" w:sz="0" w:space="0" w:color="auto"/>
            <w:left w:val="none" w:sz="0" w:space="0" w:color="auto"/>
            <w:bottom w:val="none" w:sz="0" w:space="0" w:color="auto"/>
            <w:right w:val="none" w:sz="0" w:space="0" w:color="auto"/>
          </w:divBdr>
          <w:divsChild>
            <w:div w:id="392236630">
              <w:marLeft w:val="-225"/>
              <w:marRight w:val="-225"/>
              <w:marTop w:val="0"/>
              <w:marBottom w:val="0"/>
              <w:divBdr>
                <w:top w:val="none" w:sz="0" w:space="0" w:color="auto"/>
                <w:left w:val="none" w:sz="0" w:space="0" w:color="auto"/>
                <w:bottom w:val="none" w:sz="0" w:space="0" w:color="auto"/>
                <w:right w:val="none" w:sz="0" w:space="0" w:color="auto"/>
              </w:divBdr>
            </w:div>
          </w:divsChild>
        </w:div>
        <w:div w:id="361327116">
          <w:marLeft w:val="0"/>
          <w:marRight w:val="0"/>
          <w:marTop w:val="0"/>
          <w:marBottom w:val="300"/>
          <w:divBdr>
            <w:top w:val="none" w:sz="0" w:space="0" w:color="auto"/>
            <w:left w:val="none" w:sz="0" w:space="0" w:color="auto"/>
            <w:bottom w:val="none" w:sz="0" w:space="0" w:color="auto"/>
            <w:right w:val="none" w:sz="0" w:space="0" w:color="auto"/>
          </w:divBdr>
          <w:divsChild>
            <w:div w:id="359205822">
              <w:marLeft w:val="-225"/>
              <w:marRight w:val="-225"/>
              <w:marTop w:val="0"/>
              <w:marBottom w:val="0"/>
              <w:divBdr>
                <w:top w:val="none" w:sz="0" w:space="0" w:color="auto"/>
                <w:left w:val="none" w:sz="0" w:space="0" w:color="auto"/>
                <w:bottom w:val="none" w:sz="0" w:space="0" w:color="auto"/>
                <w:right w:val="none" w:sz="0" w:space="0" w:color="auto"/>
              </w:divBdr>
            </w:div>
          </w:divsChild>
        </w:div>
        <w:div w:id="1369991642">
          <w:marLeft w:val="0"/>
          <w:marRight w:val="0"/>
          <w:marTop w:val="0"/>
          <w:marBottom w:val="300"/>
          <w:divBdr>
            <w:top w:val="none" w:sz="0" w:space="0" w:color="auto"/>
            <w:left w:val="none" w:sz="0" w:space="0" w:color="auto"/>
            <w:bottom w:val="none" w:sz="0" w:space="0" w:color="auto"/>
            <w:right w:val="none" w:sz="0" w:space="0" w:color="auto"/>
          </w:divBdr>
          <w:divsChild>
            <w:div w:id="1778714583">
              <w:marLeft w:val="-225"/>
              <w:marRight w:val="-225"/>
              <w:marTop w:val="0"/>
              <w:marBottom w:val="0"/>
              <w:divBdr>
                <w:top w:val="none" w:sz="0" w:space="0" w:color="auto"/>
                <w:left w:val="none" w:sz="0" w:space="0" w:color="auto"/>
                <w:bottom w:val="none" w:sz="0" w:space="0" w:color="auto"/>
                <w:right w:val="none" w:sz="0" w:space="0" w:color="auto"/>
              </w:divBdr>
            </w:div>
          </w:divsChild>
        </w:div>
        <w:div w:id="617641214">
          <w:marLeft w:val="0"/>
          <w:marRight w:val="0"/>
          <w:marTop w:val="0"/>
          <w:marBottom w:val="300"/>
          <w:divBdr>
            <w:top w:val="none" w:sz="0" w:space="0" w:color="auto"/>
            <w:left w:val="none" w:sz="0" w:space="0" w:color="auto"/>
            <w:bottom w:val="none" w:sz="0" w:space="0" w:color="auto"/>
            <w:right w:val="none" w:sz="0" w:space="0" w:color="auto"/>
          </w:divBdr>
          <w:divsChild>
            <w:div w:id="2071951853">
              <w:marLeft w:val="-225"/>
              <w:marRight w:val="-225"/>
              <w:marTop w:val="0"/>
              <w:marBottom w:val="0"/>
              <w:divBdr>
                <w:top w:val="none" w:sz="0" w:space="0" w:color="auto"/>
                <w:left w:val="none" w:sz="0" w:space="0" w:color="auto"/>
                <w:bottom w:val="none" w:sz="0" w:space="0" w:color="auto"/>
                <w:right w:val="none" w:sz="0" w:space="0" w:color="auto"/>
              </w:divBdr>
            </w:div>
          </w:divsChild>
        </w:div>
        <w:div w:id="1821385159">
          <w:marLeft w:val="0"/>
          <w:marRight w:val="0"/>
          <w:marTop w:val="0"/>
          <w:marBottom w:val="750"/>
          <w:divBdr>
            <w:top w:val="none" w:sz="0" w:space="0" w:color="auto"/>
            <w:left w:val="none" w:sz="0" w:space="0" w:color="auto"/>
            <w:bottom w:val="none" w:sz="0" w:space="0" w:color="auto"/>
            <w:right w:val="none" w:sz="0" w:space="0" w:color="auto"/>
          </w:divBdr>
          <w:divsChild>
            <w:div w:id="186509581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ie/pdf/?file=https://assets.gov.ie/262167/12526c69-0aa3-4fc1-89ff-37ac2a59b0d6.pdf" TargetMode="External"/><Relationship Id="rId18" Type="http://schemas.openxmlformats.org/officeDocument/2006/relationships/hyperlink" Target="https://www.consilium.europa.eu/en/council-eu/preparatory-bodies/horizontal-working-party-drugs/" TargetMode="External"/><Relationship Id="rId3" Type="http://schemas.openxmlformats.org/officeDocument/2006/relationships/customXml" Target="../customXml/item3.xml"/><Relationship Id="rId21" Type="http://schemas.openxmlformats.org/officeDocument/2006/relationships/hyperlink" Target="mailto:chloe_kearns@health.gov.ie" TargetMode="External"/><Relationship Id="rId7" Type="http://schemas.openxmlformats.org/officeDocument/2006/relationships/settings" Target="settings.xml"/><Relationship Id="rId12" Type="http://schemas.openxmlformats.org/officeDocument/2006/relationships/hyperlink" Target="https://www.gov.ie/pdf/?file=https://assets.gov.ie/204703/d85994b0-df7d-4139-8a17-55ee305d91d2.pdf" TargetMode="External"/><Relationship Id="rId17" Type="http://schemas.openxmlformats.org/officeDocument/2006/relationships/hyperlink" Target="https://www.gov.ie/pdf/?file=https://assets.gov.ie/204707/50e1218b-ad3c-42b1-9e8d-e20b11b69fcf.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drugsandalcohol.ie/php/annual_report.php" TargetMode="External"/><Relationship Id="rId20" Type="http://schemas.openxmlformats.org/officeDocument/2006/relationships/hyperlink" Target="mailto:karen_oconnor@health.gov.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v.ie/en/publication/39e48-national-oversight-committee/" TargetMode="External"/><Relationship Id="rId23" Type="http://schemas.openxmlformats.org/officeDocument/2006/relationships/hyperlink" Target="mailto:chloe_kearns@health.gov.ie" TargetMode="External"/><Relationship Id="rId10" Type="http://schemas.openxmlformats.org/officeDocument/2006/relationships/endnotes" Target="endnotes.xml"/><Relationship Id="rId19" Type="http://schemas.openxmlformats.org/officeDocument/2006/relationships/hyperlink" Target="https://www.gov.ie/pdf/?file=https://assets.gov.ie/279506/54546e50-c027-49ec-9992-bf8b17645774.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ie/en/publication/39e48-national-oversight-committee/" TargetMode="External"/><Relationship Id="rId22" Type="http://schemas.openxmlformats.org/officeDocument/2006/relationships/hyperlink" Target="mailto:karen_oconnor@health.gov.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539e30a-63f7-4303-a4a1-a236e3720bb3">
      <Value>5</Value>
      <Value>3</Value>
      <Value>2</Value>
      <Value>1</Value>
    </TaxCatchAll>
    <eDocs_FileStatus xmlns="d539e30a-63f7-4303-a4a1-a236e3720bb3">Live</eDocs_FileStatus>
    <h1f8bb4843d6459a8b809123185593c7 xmlns="d539e30a-63f7-4303-a4a1-a236e3720bb3">
      <Terms xmlns="http://schemas.microsoft.com/office/infopath/2007/PartnerControls">
        <TermInfo xmlns="http://schemas.microsoft.com/office/infopath/2007/PartnerControls">
          <TermName xmlns="http://schemas.microsoft.com/office/infopath/2007/PartnerControls">287</TermName>
          <TermId xmlns="http://schemas.microsoft.com/office/infopath/2007/PartnerControls">8031f44b-8757-4877-a141-58bbfb06c60a</TermId>
        </TermInfo>
      </Terms>
    </h1f8bb4843d6459a8b809123185593c7>
    <_vti_ItemDeclaredRecord xmlns="d539e30a-63f7-4303-a4a1-a236e3720bb3" xsi:nil="true"/>
    <nb1b8a72855341e18dd75ce464e281f2 xmlns="d539e30a-63f7-4303-a4a1-a236e3720bb3">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d122632a-b532-4f63-bc5e-e59a1be8f015</TermId>
        </TermInfo>
      </Terms>
    </nb1b8a72855341e18dd75ce464e281f2>
    <m02c691f3efa402dab5cbaa8c240a9e7 xmlns="d539e30a-63f7-4303-a4a1-a236e3720bb3">
      <Terms xmlns="http://schemas.microsoft.com/office/infopath/2007/PartnerControls">
        <TermInfo xmlns="http://schemas.microsoft.com/office/infopath/2007/PartnerControls">
          <TermName xmlns="http://schemas.microsoft.com/office/infopath/2007/PartnerControls">Undefined</TermName>
          <TermId xmlns="http://schemas.microsoft.com/office/infopath/2007/PartnerControls">cd665959-c920-4b6e-a1ab-57695f53ea14</TermId>
        </TermInfo>
      </Terms>
    </m02c691f3efa402dab5cbaa8c240a9e7>
    <mbbd3fafa5ab4e5eb8a6a5e099cef439 xmlns="d539e30a-63f7-4303-a4a1-a236e3720bb3">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c9f4c94a-1915-4f20-a131-4366bb1313cc</TermId>
        </TermInfo>
      </Terms>
    </mbbd3fafa5ab4e5eb8a6a5e099cef439>
    <fbaa881fc4ae443f9fdafbdd527793df xmlns="d539e30a-63f7-4303-a4a1-a236e3720bb3">
      <Terms xmlns="http://schemas.microsoft.com/office/infopath/2007/PartnerControls"/>
    </fbaa881fc4ae443f9fdafbdd527793df>
    <eDocs_eFileName xmlns="d539e30a-63f7-4303-a4a1-a236e3720bb3">H287-010-2022</eDocs_eFileNam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Document" ma:contentTypeID="0x0101000BC94875665D404BB1351B53C41FD2C000EC8460EB23CAC4498E2C7E7AB7DFBCF0" ma:contentTypeVersion="91" ma:contentTypeDescription="" ma:contentTypeScope="" ma:versionID="2b297bc3c15347c3adfae6568f7473bf">
  <xsd:schema xmlns:xsd="http://www.w3.org/2001/XMLSchema" xmlns:xs="http://www.w3.org/2001/XMLSchema" xmlns:p="http://schemas.microsoft.com/office/2006/metadata/properties" xmlns:ns2="d539e30a-63f7-4303-a4a1-a236e3720bb3" targetNamespace="http://schemas.microsoft.com/office/2006/metadata/properties" ma:root="true" ma:fieldsID="d48b9bb104e0d868088e9e7506f8d571" ns2:_="">
    <xsd:import namespace="d539e30a-63f7-4303-a4a1-a236e3720bb3"/>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9e30a-63f7-4303-a4a1-a236e3720bb3"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5cea378e-fc19-47dd-a558-c94453054fd0}" ma:internalName="TaxCatchAll" ma:showField="CatchAllData" ma:web="d539e30a-63f7-4303-a4a1-a236e3720bb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cea378e-fc19-47dd-a558-c94453054fd0}" ma:internalName="TaxCatchAllLabel" ma:readOnly="true" ma:showField="CatchAllDataLabel" ma:web="d539e30a-63f7-4303-a4a1-a236e3720bb3">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287|8031f44b-8757-4877-a141-58bbfb06c60a" ma:fieldId="{11f8bb48-43d6-459a-8b80-9123185593c7}" ma:sspId="43a83227-78c5-4f69-a7d8-ae79bb607ae2" ma:termSetId="2aa124d1-1f41-4a68-8ba7-9b80e695abba"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43a83227-78c5-4f69-a7d8-ae79bb607ae2" ma:termSetId="c3ff63bd-aa26-461b-bcbc-fe20728d10c1"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43a83227-78c5-4f69-a7d8-ae79bb607ae2" ma:termSetId="48d16681-0ac9-492e-96e0-482fb6635900"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c9f4c94a-1915-4f20-a131-4366bb1313cc" ma:fieldId="{6bbd3faf-a5ab-4e5e-b8a6-a5e099cef439}" ma:sspId="43a83227-78c5-4f69-a7d8-ae79bb607ae2" ma:termSetId="5a409d14-2540-463b-a7a5-0fda4d7091a0"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43a83227-78c5-4f69-a7d8-ae79bb607ae2" ma:termSetId="00000000-0000-0000-0000-0000000000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EFB7EB-58BE-4DA3-9A6A-51FD1ED3BC1D}">
  <ds:schemaRefs>
    <ds:schemaRef ds:uri="http://schemas.microsoft.com/office/2006/metadata/properties"/>
    <ds:schemaRef ds:uri="http://schemas.microsoft.com/office/infopath/2007/PartnerControls"/>
    <ds:schemaRef ds:uri="d539e30a-63f7-4303-a4a1-a236e3720bb3"/>
  </ds:schemaRefs>
</ds:datastoreItem>
</file>

<file path=customXml/itemProps2.xml><?xml version="1.0" encoding="utf-8"?>
<ds:datastoreItem xmlns:ds="http://schemas.openxmlformats.org/officeDocument/2006/customXml" ds:itemID="{DD85D642-F787-4C45-99E4-39B3FE0DE483}">
  <ds:schemaRefs>
    <ds:schemaRef ds:uri="http://schemas.openxmlformats.org/officeDocument/2006/bibliography"/>
  </ds:schemaRefs>
</ds:datastoreItem>
</file>

<file path=customXml/itemProps3.xml><?xml version="1.0" encoding="utf-8"?>
<ds:datastoreItem xmlns:ds="http://schemas.openxmlformats.org/officeDocument/2006/customXml" ds:itemID="{70D0535E-36C5-4741-8B12-A50A3EA2F671}">
  <ds:schemaRefs>
    <ds:schemaRef ds:uri="http://schemas.microsoft.com/sharepoint/v3/contenttype/forms"/>
  </ds:schemaRefs>
</ds:datastoreItem>
</file>

<file path=customXml/itemProps4.xml><?xml version="1.0" encoding="utf-8"?>
<ds:datastoreItem xmlns:ds="http://schemas.openxmlformats.org/officeDocument/2006/customXml" ds:itemID="{B1F209E0-15AA-41AA-9553-76DEC519E2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9e30a-63f7-4303-a4a1-a236e3720b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6484</Words>
  <Characters>36961</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Kehoe</dc:creator>
  <cp:keywords/>
  <dc:description/>
  <cp:lastModifiedBy>Chloe Kearns</cp:lastModifiedBy>
  <cp:revision>2</cp:revision>
  <dcterms:created xsi:type="dcterms:W3CDTF">2024-10-17T14:25:00Z</dcterms:created>
  <dcterms:modified xsi:type="dcterms:W3CDTF">2024-10-17T14:25:00Z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0x0101000BC94875665D404BB1351B53C41FD2C000EC8460EB23CAC4498E2C7E7AB7DFBCF0</vt:lpwstr>
  </property>
  <property fmtid="{D5CDD505-2E9C-101B-9397-08002B2CF9AE}" pid="3" name="eDocs_FileTopics">
    <vt:lpwstr>3;#Undefined|cd665959-c920-4b6e-a1ab-57695f53ea14</vt:lpwstr>
  </property>
  <property fmtid="{D5CDD505-2E9C-101B-9397-08002B2CF9AE}" pid="4" name="eDocs_Year">
    <vt:lpwstr>2;#2022|d122632a-b532-4f63-bc5e-e59a1be8f015</vt:lpwstr>
  </property>
  <property fmtid="{D5CDD505-2E9C-101B-9397-08002B2CF9AE}" pid="5" name="eDocs_SeriesSubSeries">
    <vt:lpwstr>16;#066|d25cbbfc-1542-4afc-acc8-b1a9139c6072</vt:lpwstr>
  </property>
  <property fmtid="{D5CDD505-2E9C-101B-9397-08002B2CF9AE}" pid="6" name="eDocs_SecurityClassificationTaxHTField0">
    <vt:lpwstr>Public|dd6a0d71-356a-46f2-a9b7-7b507f535dc3</vt:lpwstr>
  </property>
  <property fmtid="{D5CDD505-2E9C-101B-9397-08002B2CF9AE}" pid="7" name="_dlc_policyId">
    <vt:lpwstr>0x0101000BC94875665D404BB1351B53C41FD2C0|151133126</vt:lpwstr>
  </property>
  <property fmtid="{D5CDD505-2E9C-101B-9397-08002B2CF9AE}" pid="8" name="ItemRetentionFormula">
    <vt:lpwstr/>
  </property>
  <property fmtid="{D5CDD505-2E9C-101B-9397-08002B2CF9AE}" pid="9" name="eDocs_SecurityClassification">
    <vt:lpwstr>5;#Unclassified|c9f4c94a-1915-4f20-a131-4366bb1313cc</vt:lpwstr>
  </property>
  <property fmtid="{D5CDD505-2E9C-101B-9397-08002B2CF9AE}" pid="10" name="eDocs_DocumentTopics">
    <vt:lpwstr/>
  </property>
  <property fmtid="{D5CDD505-2E9C-101B-9397-08002B2CF9AE}" pid="11" name="_dlc_LastRun">
    <vt:lpwstr>10/09/2021 23:07:22</vt:lpwstr>
  </property>
  <property fmtid="{D5CDD505-2E9C-101B-9397-08002B2CF9AE}" pid="12" name="_dlc_ItemStageId">
    <vt:lpwstr>1</vt:lpwstr>
  </property>
  <property fmtid="{D5CDD505-2E9C-101B-9397-08002B2CF9AE}" pid="13" name="_docset_NoMedatataSyncRequired">
    <vt:lpwstr>False</vt:lpwstr>
  </property>
  <property fmtid="{D5CDD505-2E9C-101B-9397-08002B2CF9AE}" pid="14" name="eDocs_Series">
    <vt:lpwstr>1;#287|8031f44b-8757-4877-a141-58bbfb06c60a</vt:lpwstr>
  </property>
  <property fmtid="{D5CDD505-2E9C-101B-9397-08002B2CF9AE}" pid="15" name="ge25f6a3ef6f42d4865685f2a74bf8c7">
    <vt:lpwstr/>
  </property>
  <property fmtid="{D5CDD505-2E9C-101B-9397-08002B2CF9AE}" pid="16" name="eDocs_RetentionPeriodTerm">
    <vt:lpwstr/>
  </property>
</Properties>
</file>